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68C39" w14:textId="6E83FAB5" w:rsidR="00510D4F" w:rsidRDefault="00510D4F" w:rsidP="00510D4F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510D4F">
        <w:rPr>
          <w:rFonts w:ascii="Cambria" w:hAnsi="Cambria"/>
          <w:b/>
          <w:bCs/>
          <w:sz w:val="32"/>
          <w:szCs w:val="32"/>
          <w:u w:val="single"/>
        </w:rPr>
        <w:t xml:space="preserve">RESPOSTA À IMPUGNAÇÃO DO EDITAL DE LICITAÇÃO PREGÃO ELETRÔNICO Nº </w:t>
      </w:r>
      <w:r w:rsidR="005E1F92">
        <w:rPr>
          <w:rFonts w:ascii="Cambria" w:hAnsi="Cambria"/>
          <w:b/>
          <w:bCs/>
          <w:sz w:val="32"/>
          <w:szCs w:val="32"/>
          <w:u w:val="single"/>
        </w:rPr>
        <w:t>007</w:t>
      </w:r>
      <w:r w:rsidRPr="00510D4F">
        <w:rPr>
          <w:rFonts w:ascii="Cambria" w:hAnsi="Cambria"/>
          <w:b/>
          <w:bCs/>
          <w:sz w:val="32"/>
          <w:szCs w:val="32"/>
          <w:u w:val="single"/>
        </w:rPr>
        <w:t>/202</w:t>
      </w:r>
      <w:r w:rsidR="006B51A0">
        <w:rPr>
          <w:rFonts w:ascii="Cambria" w:hAnsi="Cambria"/>
          <w:b/>
          <w:bCs/>
          <w:sz w:val="32"/>
          <w:szCs w:val="32"/>
          <w:u w:val="single"/>
        </w:rPr>
        <w:t>6</w:t>
      </w:r>
    </w:p>
    <w:p w14:paraId="7C1A94D9" w14:textId="19F109D4" w:rsidR="00510D4F" w:rsidRDefault="00510D4F" w:rsidP="00510D4F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510D4F">
        <w:rPr>
          <w:rFonts w:ascii="Cambria" w:hAnsi="Cambria"/>
          <w:b/>
          <w:bCs/>
          <w:sz w:val="24"/>
          <w:szCs w:val="24"/>
        </w:rPr>
        <w:t xml:space="preserve">OBJETO: </w:t>
      </w:r>
      <w:r w:rsidR="005E1F92" w:rsidRPr="005E1F92">
        <w:rPr>
          <w:rFonts w:ascii="Cambria" w:hAnsi="Cambria"/>
          <w:sz w:val="24"/>
          <w:szCs w:val="24"/>
        </w:rPr>
        <w:t>Contratação de serviços de locação com preparo e fornecimento de algodão doce, pipoca e crepe para atendimento de eventos promovidos pela Secretaria Municipal de Trabalho, Habitação e Assistência Social, conforme condições, quantidades e exigências estabelecidas no Termo de Referência.</w:t>
      </w:r>
    </w:p>
    <w:p w14:paraId="587FC184" w14:textId="77777777" w:rsidR="00230A18" w:rsidRDefault="00230A18" w:rsidP="00510D4F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1AD6E1FF" w14:textId="53E7E736" w:rsidR="00230A18" w:rsidRPr="00230A18" w:rsidRDefault="00510D4F" w:rsidP="00230A18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DA TEMPESTIVIDADE</w:t>
      </w:r>
    </w:p>
    <w:p w14:paraId="67E3BFCD" w14:textId="60939A5F" w:rsidR="00230A18" w:rsidRPr="00230A18" w:rsidRDefault="005E1F92" w:rsidP="006B51A0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5E1F92">
        <w:rPr>
          <w:rFonts w:ascii="Cambria" w:hAnsi="Cambria"/>
          <w:sz w:val="24"/>
          <w:szCs w:val="24"/>
        </w:rPr>
        <w:t xml:space="preserve">Trata-se de impugnação apresentada por </w:t>
      </w:r>
      <w:r w:rsidRPr="005E1F92">
        <w:rPr>
          <w:rFonts w:ascii="Cambria" w:hAnsi="Cambria"/>
          <w:b/>
          <w:bCs/>
          <w:sz w:val="24"/>
          <w:szCs w:val="24"/>
        </w:rPr>
        <w:t>Erick Ferreira Leite</w:t>
      </w:r>
      <w:r w:rsidRPr="005E1F92">
        <w:rPr>
          <w:rFonts w:ascii="Cambria" w:hAnsi="Cambria"/>
          <w:sz w:val="24"/>
          <w:szCs w:val="24"/>
        </w:rPr>
        <w:t>, na qualidade de parte interessada, em face do Edital do Pregão Eletrônico SRP nº 007/2026, alegando supostas lacunas técnicas quanto à definição do objeto e parâmetros de execução.</w:t>
      </w:r>
    </w:p>
    <w:p w14:paraId="70FF71EF" w14:textId="42A301EF" w:rsidR="00565787" w:rsidRDefault="005E1F92" w:rsidP="00230A18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5E1F92">
        <w:rPr>
          <w:rFonts w:ascii="Cambria" w:hAnsi="Cambria"/>
          <w:sz w:val="24"/>
          <w:szCs w:val="24"/>
        </w:rPr>
        <w:t>Nos termos do art. 164 da Lei nº 14.133/2021 e do item 15.1 do edital, a impugnação deve ser protocolada até 3 (três) dias úteis antes da data da abertura do certame. A sessão pública est</w:t>
      </w:r>
      <w:r>
        <w:rPr>
          <w:rFonts w:ascii="Cambria" w:hAnsi="Cambria"/>
          <w:sz w:val="24"/>
          <w:szCs w:val="24"/>
        </w:rPr>
        <w:t>ava</w:t>
      </w:r>
      <w:r w:rsidRPr="005E1F92">
        <w:rPr>
          <w:rFonts w:ascii="Cambria" w:hAnsi="Cambria"/>
          <w:sz w:val="24"/>
          <w:szCs w:val="24"/>
        </w:rPr>
        <w:t xml:space="preserve"> designada para </w:t>
      </w:r>
      <w:r>
        <w:rPr>
          <w:rFonts w:ascii="Cambria" w:hAnsi="Cambria"/>
          <w:sz w:val="24"/>
          <w:szCs w:val="24"/>
        </w:rPr>
        <w:t xml:space="preserve">o dia </w:t>
      </w:r>
      <w:r w:rsidRPr="005E1F92">
        <w:rPr>
          <w:rFonts w:ascii="Cambria" w:hAnsi="Cambria"/>
          <w:sz w:val="24"/>
          <w:szCs w:val="24"/>
        </w:rPr>
        <w:t>16/03/2026, às 08h01, e a impugnação foi apresentada em 11/03/2026, razão pela qual é tempestiva.</w:t>
      </w:r>
    </w:p>
    <w:p w14:paraId="4F12C32B" w14:textId="77777777" w:rsidR="005E1F92" w:rsidRDefault="005E1F92" w:rsidP="00230A18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121B2E17" w14:textId="5D8DA0C4" w:rsidR="00565787" w:rsidRPr="00230A18" w:rsidRDefault="00565787" w:rsidP="00245B03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 w:rsidRPr="00565787">
        <w:rPr>
          <w:rFonts w:ascii="Cambria" w:hAnsi="Cambria"/>
          <w:b/>
          <w:bCs/>
          <w:sz w:val="24"/>
          <w:szCs w:val="24"/>
        </w:rPr>
        <w:t>SÍNTESE DAS TESES E ARGUMENTOS DA IMPUGNANTE</w:t>
      </w:r>
    </w:p>
    <w:p w14:paraId="0CB079B8" w14:textId="703FE47D" w:rsidR="00D66975" w:rsidRPr="00E73E2C" w:rsidRDefault="005E1F92" w:rsidP="00E73E2C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5E1F92">
        <w:rPr>
          <w:rFonts w:ascii="Cambria" w:hAnsi="Cambria"/>
          <w:sz w:val="24"/>
          <w:szCs w:val="24"/>
        </w:rPr>
        <w:t xml:space="preserve">A impugnante sustenta, em síntese, que o edital conteria lacunas técnicas capazes de comprometer a formulação das propostas, notadamente por suposta ausência de definição: i) do limite de produção por hora; </w:t>
      </w:r>
      <w:proofErr w:type="spellStart"/>
      <w:r w:rsidRPr="005E1F92">
        <w:rPr>
          <w:rFonts w:ascii="Cambria" w:hAnsi="Cambria"/>
          <w:sz w:val="24"/>
          <w:szCs w:val="24"/>
        </w:rPr>
        <w:t>ii</w:t>
      </w:r>
      <w:proofErr w:type="spellEnd"/>
      <w:r w:rsidRPr="005E1F92">
        <w:rPr>
          <w:rFonts w:ascii="Cambria" w:hAnsi="Cambria"/>
          <w:sz w:val="24"/>
          <w:szCs w:val="24"/>
        </w:rPr>
        <w:t xml:space="preserve">) da quantidade de equipamentos a serem disponibilizados; </w:t>
      </w:r>
      <w:proofErr w:type="spellStart"/>
      <w:r w:rsidRPr="005E1F92">
        <w:rPr>
          <w:rFonts w:ascii="Cambria" w:hAnsi="Cambria"/>
          <w:sz w:val="24"/>
          <w:szCs w:val="24"/>
        </w:rPr>
        <w:t>iii</w:t>
      </w:r>
      <w:proofErr w:type="spellEnd"/>
      <w:r w:rsidRPr="005E1F92">
        <w:rPr>
          <w:rFonts w:ascii="Cambria" w:hAnsi="Cambria"/>
          <w:sz w:val="24"/>
          <w:szCs w:val="24"/>
        </w:rPr>
        <w:t xml:space="preserve">) da forma de contabilização da hora de serviço quando houver múltiplos carrinhos; e </w:t>
      </w:r>
      <w:proofErr w:type="spellStart"/>
      <w:r w:rsidRPr="005E1F92">
        <w:rPr>
          <w:rFonts w:ascii="Cambria" w:hAnsi="Cambria"/>
          <w:sz w:val="24"/>
          <w:szCs w:val="24"/>
        </w:rPr>
        <w:t>iv</w:t>
      </w:r>
      <w:proofErr w:type="spellEnd"/>
      <w:r w:rsidRPr="005E1F92">
        <w:rPr>
          <w:rFonts w:ascii="Cambria" w:hAnsi="Cambria"/>
          <w:sz w:val="24"/>
          <w:szCs w:val="24"/>
        </w:rPr>
        <w:t>) de parâmetros mínimos de qualidade dos produtos fornecidos. Requer, ao final, a retificação do edital e a republicação do certame</w:t>
      </w:r>
    </w:p>
    <w:p w14:paraId="5C263CE1" w14:textId="7A55823A" w:rsidR="00DE60B8" w:rsidRPr="00DE60B8" w:rsidRDefault="00565787" w:rsidP="00DE60B8">
      <w:pPr>
        <w:pStyle w:val="PargrafodaLista"/>
        <w:numPr>
          <w:ilvl w:val="0"/>
          <w:numId w:val="1"/>
        </w:numPr>
        <w:spacing w:before="240"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lastRenderedPageBreak/>
        <w:t>DO MÉRITO</w:t>
      </w:r>
    </w:p>
    <w:p w14:paraId="36BF04E7" w14:textId="79B07501" w:rsidR="004C1C63" w:rsidRDefault="005E1F92" w:rsidP="005E1F92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5E1F92">
        <w:rPr>
          <w:rFonts w:ascii="Cambria" w:hAnsi="Cambria"/>
          <w:sz w:val="24"/>
          <w:szCs w:val="24"/>
        </w:rPr>
        <w:t>Inicialmente, cumpre registrar que o objeto da contratação está definido de forma suficiente, objetiva e compatível com a natureza dos serviços licitados. O edital prevê contratação de serviços de locação com preparo e fornecimento de algodão doce, pipoca e crepe para eventos da Secretaria Municipal de Trabalho, Habitação e Assistência Social, com critério de julgamento de menor preço por item.</w:t>
      </w:r>
      <w:r w:rsidRPr="005E1F92">
        <w:t xml:space="preserve"> </w:t>
      </w:r>
      <w:r w:rsidRPr="005E1F92">
        <w:rPr>
          <w:rFonts w:ascii="Cambria" w:hAnsi="Cambria"/>
          <w:sz w:val="24"/>
          <w:szCs w:val="24"/>
        </w:rPr>
        <w:t>O Termo de Referência, por sua vez, individualiza os itens e descreve, para cada um deles, o equipamento, os insumos, a mão de obra, o transporte, a montagem e a desmontagem, além de fixar expressamente a quantidade de no máximo 500 unidades para os itens de algodão doce, crepe e pipoca.</w:t>
      </w:r>
    </w:p>
    <w:p w14:paraId="0185A193" w14:textId="20D0994F" w:rsidR="005E1F92" w:rsidRDefault="005E1F92" w:rsidP="005E1F92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5E1F92">
        <w:rPr>
          <w:rFonts w:ascii="Cambria" w:hAnsi="Cambria"/>
          <w:sz w:val="24"/>
          <w:szCs w:val="24"/>
        </w:rPr>
        <w:t>Portanto, não procede a alegação de ausência de limite de produção por hora. O próprio Termo de Referência já delimitou objetivamente, em cada item, o quantitativo máximo vinculado à hora contratada, ao estabelecer, nas descrições dos itens 1, 2 e 3, “quantidade de no máximo 500 unidades”.</w:t>
      </w:r>
      <w:r>
        <w:rPr>
          <w:rFonts w:ascii="Cambria" w:hAnsi="Cambria"/>
          <w:sz w:val="24"/>
          <w:szCs w:val="24"/>
        </w:rPr>
        <w:t xml:space="preserve"> </w:t>
      </w:r>
      <w:r w:rsidRPr="005E1F92">
        <w:rPr>
          <w:rFonts w:ascii="Cambria" w:hAnsi="Cambria"/>
          <w:sz w:val="24"/>
          <w:szCs w:val="24"/>
        </w:rPr>
        <w:t>Não há, assim, obrigação ilimitada ou indeterminada, tampouco abertura para exigência sem parâmetro. Ao contrário, o instrumento convocatório estabeleceu teto objetivo de fornecimento, suficiente para permitir a composição de custos pelos licitantes.</w:t>
      </w:r>
    </w:p>
    <w:p w14:paraId="7D963D4B" w14:textId="1476B7C4" w:rsidR="005E1F92" w:rsidRDefault="005E1F92" w:rsidP="005E1F92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5E1F92">
        <w:rPr>
          <w:rFonts w:ascii="Cambria" w:hAnsi="Cambria"/>
          <w:sz w:val="24"/>
          <w:szCs w:val="24"/>
        </w:rPr>
        <w:t>Também não procede a tese de que o edital não define a quantidade de equipamentos vinculada à hora contratada. O certame foi estruturado por item, sendo cada item correspondente a uma máquina/equipamento específico, com unidade de fornecimento em horas.</w:t>
      </w:r>
      <w:r w:rsidRPr="005E1F92">
        <w:rPr>
          <w:rFonts w:ascii="Cambria" w:hAnsi="Cambria"/>
          <w:sz w:val="24"/>
          <w:szCs w:val="24"/>
        </w:rPr>
        <w:t xml:space="preserve"> </w:t>
      </w:r>
      <w:r w:rsidRPr="005E1F92">
        <w:rPr>
          <w:rFonts w:ascii="Cambria" w:hAnsi="Cambria"/>
          <w:sz w:val="24"/>
          <w:szCs w:val="24"/>
        </w:rPr>
        <w:t>Além disso, o item 5.5 do Termo de Referência estabelece expressamente que a unidade de fornecimento do serviço é a “hora de uso dos equipamentos”, conforme cronograma previamente definido para o evento, sem inclusão do tempo de montagem e desmontagem.</w:t>
      </w:r>
      <w:r w:rsidRPr="005E1F92">
        <w:rPr>
          <w:rFonts w:ascii="Cambria" w:hAnsi="Cambria"/>
          <w:sz w:val="24"/>
          <w:szCs w:val="24"/>
        </w:rPr>
        <w:t xml:space="preserve"> </w:t>
      </w:r>
      <w:r w:rsidRPr="005E1F92">
        <w:rPr>
          <w:rFonts w:ascii="Cambria" w:hAnsi="Cambria"/>
          <w:sz w:val="24"/>
          <w:szCs w:val="24"/>
        </w:rPr>
        <w:t>A leitura conjugada das cláusulas revela, portanto, que a remuneração incide sobre a hora de uso do equipamento referente ao item contratado, não havendo obscuridade normativa.</w:t>
      </w:r>
    </w:p>
    <w:p w14:paraId="297494B9" w14:textId="08EF0B0A" w:rsidR="005E1F92" w:rsidRDefault="005E1F92" w:rsidP="005E1F92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5E1F92">
        <w:rPr>
          <w:rFonts w:ascii="Cambria" w:hAnsi="Cambria"/>
          <w:sz w:val="24"/>
          <w:szCs w:val="24"/>
        </w:rPr>
        <w:lastRenderedPageBreak/>
        <w:t>A pretensão de que o edital passe a prever, de forma exaustiva, hipóteses de múltiplos carrinhos ou múltiplos equipamentos simultâneos não encontra amparo na modelagem adotada pela Administração. O procedimento foi estruturado por item e por hora de uso do equipamento, cabendo à Administração demandar os itens necessários conforme cada evento e remunerá-los nos exatos termos contratados. Não há indeterminação do objeto por não se prever, em abstrato, todas as combinações logísticas possíveis de execução. Exigir tal nível de detalhamento equivaleria a pretender que o edital antecipe todas as situações operacionais imagináveis, o que não é exigido pela Lei nº 14.133/2021, desde que o objeto esteja adequadamente delimitado, como ocorre no presente caso.</w:t>
      </w:r>
    </w:p>
    <w:p w14:paraId="55872AC4" w14:textId="6506B107" w:rsidR="005E1F92" w:rsidRDefault="005E1F92" w:rsidP="005E1F92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5E1F92">
        <w:rPr>
          <w:rFonts w:ascii="Cambria" w:hAnsi="Cambria"/>
          <w:sz w:val="24"/>
          <w:szCs w:val="24"/>
        </w:rPr>
        <w:t>No tocante aos critérios de qualidade, a impugnação também não procede. O Termo de Referência dispõe que os serviços estão em estrita conformidade com a padronização adotada pelo órgão e atendem às especificações técnicas e requisitos de desempenho necessários ao interesse público.</w:t>
      </w:r>
      <w:r w:rsidRPr="005E1F92">
        <w:rPr>
          <w:rFonts w:ascii="Cambria" w:hAnsi="Cambria"/>
          <w:sz w:val="24"/>
          <w:szCs w:val="24"/>
        </w:rPr>
        <w:t xml:space="preserve"> </w:t>
      </w:r>
      <w:r w:rsidRPr="005E1F92">
        <w:rPr>
          <w:rFonts w:ascii="Cambria" w:hAnsi="Cambria"/>
          <w:sz w:val="24"/>
          <w:szCs w:val="24"/>
        </w:rPr>
        <w:t>Além disso, estabelece que a execução deverá abranger disponibilização integral de mão de obra qualificada, equipamentos higienizados e insumos de primeira qualidade, com preparo realizado in loco, “para garantir o frescor e a segurança alimentar, conforme as normas da ANVISA”.</w:t>
      </w:r>
      <w:r w:rsidRPr="005E1F92">
        <w:rPr>
          <w:rFonts w:ascii="Cambria" w:hAnsi="Cambria"/>
          <w:sz w:val="24"/>
          <w:szCs w:val="24"/>
        </w:rPr>
        <w:t xml:space="preserve"> </w:t>
      </w:r>
      <w:r w:rsidRPr="005E1F92">
        <w:rPr>
          <w:rFonts w:ascii="Cambria" w:hAnsi="Cambria"/>
          <w:sz w:val="24"/>
          <w:szCs w:val="24"/>
        </w:rPr>
        <w:t>Ainda no capítulo dos requisitos da contratação, o item 5.8 prevê expressamente que todos os insumos utilizados — milho, açúcar, corantes, massas de crepe etc. — deverão ser de primeira qualidade e estar dentro do prazo de validade.</w:t>
      </w:r>
    </w:p>
    <w:p w14:paraId="4CC24D02" w14:textId="1C8BDA14" w:rsidR="00421EF2" w:rsidRDefault="00421EF2" w:rsidP="005E1F92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421EF2">
        <w:rPr>
          <w:rFonts w:ascii="Cambria" w:hAnsi="Cambria"/>
          <w:sz w:val="24"/>
          <w:szCs w:val="24"/>
        </w:rPr>
        <w:t>Há também previsão de que o pessoal disponibilizado pela contratada deverá atuar uniformizado e identificado, mantendo conduta ética e cordial com o público, bem como de que a contratada deverá disponibilizar todos os equipamentos, ferramentas, pessoal e materiais necessários à montagem, operação e desmontagem, em quantidade adequada à perfeita execução do evento.</w:t>
      </w:r>
      <w:r w:rsidRPr="00421EF2">
        <w:rPr>
          <w:rFonts w:ascii="Cambria" w:hAnsi="Cambria"/>
          <w:sz w:val="24"/>
          <w:szCs w:val="24"/>
        </w:rPr>
        <w:t xml:space="preserve"> </w:t>
      </w:r>
      <w:r w:rsidRPr="00421EF2">
        <w:rPr>
          <w:rFonts w:ascii="Cambria" w:hAnsi="Cambria"/>
          <w:sz w:val="24"/>
          <w:szCs w:val="24"/>
        </w:rPr>
        <w:t xml:space="preserve">Some-se a isso a possibilidade de rejeição dos serviços executados em desacordo com o Termo de Referência ou com a proposta, com obrigação de refazimento às expensas da </w:t>
      </w:r>
      <w:r w:rsidRPr="00421EF2">
        <w:rPr>
          <w:rFonts w:ascii="Cambria" w:hAnsi="Cambria"/>
          <w:sz w:val="24"/>
          <w:szCs w:val="24"/>
        </w:rPr>
        <w:lastRenderedPageBreak/>
        <w:t>contratada.</w:t>
      </w:r>
      <w:r w:rsidRPr="00421EF2">
        <w:rPr>
          <w:rFonts w:ascii="Cambria" w:hAnsi="Cambria"/>
          <w:sz w:val="24"/>
          <w:szCs w:val="24"/>
        </w:rPr>
        <w:t xml:space="preserve"> </w:t>
      </w:r>
      <w:r w:rsidRPr="00421EF2">
        <w:rPr>
          <w:rFonts w:ascii="Cambria" w:hAnsi="Cambria"/>
          <w:sz w:val="24"/>
          <w:szCs w:val="24"/>
        </w:rPr>
        <w:t>Assim, não se sustenta a alegação de ausência de parâmetros mínimos de qualidade ou de inviabilidade de fiscalização.</w:t>
      </w:r>
    </w:p>
    <w:p w14:paraId="3C39EC03" w14:textId="54E37CCA" w:rsidR="00FA063A" w:rsidRDefault="00FA063A" w:rsidP="005E1F92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FA063A">
        <w:rPr>
          <w:rFonts w:ascii="Cambria" w:hAnsi="Cambria"/>
          <w:sz w:val="24"/>
          <w:szCs w:val="24"/>
        </w:rPr>
        <w:t>A Administração deve descrever o objeto da contratação e os parâmetros de qualidade esperados, de modo a permitir a identificação clara do serviço e a formulação das propostas, não cabendo ao edital disciplinar de maneira exaustiva toda a organização produtiva e operacional do futuro contratado. No presente caso, o edital cumpre essa função ao definir o serviço por item, por hora de uso do equipamento, com insumos, mão de obra, transporte, montagem e desmontagem incluídos, além de quantitativo máximo de unidades por item e exigência de insumos de primeira qualidade.</w:t>
      </w:r>
    </w:p>
    <w:p w14:paraId="36372ED2" w14:textId="0D6781DE" w:rsidR="00FA063A" w:rsidRDefault="00FA063A" w:rsidP="005E1F92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FA063A">
        <w:rPr>
          <w:rFonts w:ascii="Cambria" w:hAnsi="Cambria"/>
          <w:sz w:val="24"/>
          <w:szCs w:val="24"/>
        </w:rPr>
        <w:t>Nessa linha, o item 9.2 do edital dispõe expressamente que, nos valores propostos, estarão inclusos todos os custos operacionais, encargos previdenciários, trabalhistas, tributários, comerciais e quaisquer outros que incidam direta ou indiretamente na execução do objeto. Já o item 9.4 reforça que a apresentação da proposta implica o compromisso de executar o objeto licitado nos seus termos, fornecendo materiais, equipamentos, ferramentas e utensílios necessários, em quantidades e qualidades adequadas à perfeita execução contratual.</w:t>
      </w:r>
      <w:r w:rsidRPr="00FA063A">
        <w:rPr>
          <w:rFonts w:ascii="Cambria" w:hAnsi="Cambria"/>
          <w:sz w:val="24"/>
          <w:szCs w:val="24"/>
        </w:rPr>
        <w:t xml:space="preserve"> </w:t>
      </w:r>
      <w:r w:rsidRPr="00FA063A">
        <w:rPr>
          <w:rFonts w:ascii="Cambria" w:hAnsi="Cambria"/>
          <w:sz w:val="24"/>
          <w:szCs w:val="24"/>
        </w:rPr>
        <w:t>Dessa forma, eventuais definições internas sobre produtividade operacional, escala de pessoal, logística de abastecimento e demais aspectos de organização do serviço constituem ônus normal da atividade econômica do licitante, a serem absorvidos e precificados em sua proposta.</w:t>
      </w:r>
    </w:p>
    <w:p w14:paraId="5171C667" w14:textId="77777777" w:rsidR="00FA063A" w:rsidRPr="00FA063A" w:rsidRDefault="00FA063A" w:rsidP="00FA063A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FA063A">
        <w:rPr>
          <w:rFonts w:ascii="Cambria" w:hAnsi="Cambria"/>
          <w:sz w:val="24"/>
          <w:szCs w:val="24"/>
        </w:rPr>
        <w:t xml:space="preserve">A jurisprudência citada pela impugnante, no sentido de que o objeto deve ser descrito de forma clara e suficiente, não conduz ao acolhimento do pedido. Ao contrário, aplicada corretamente ao caso concreto, reforça a regularidade do edital, pois há descrição do objeto, quantitativos máximos por item, unidade de fornecimento, regras de execução, exigência de qualidade dos insumos e possibilidade de rejeição dos serviços prestados em desconformidade. O que a impugnante pretende, em verdade, é ampliar o nível de detalhamento do </w:t>
      </w:r>
      <w:r w:rsidRPr="00FA063A">
        <w:rPr>
          <w:rFonts w:ascii="Cambria" w:hAnsi="Cambria"/>
          <w:sz w:val="24"/>
          <w:szCs w:val="24"/>
        </w:rPr>
        <w:lastRenderedPageBreak/>
        <w:t>instrumento convocatório para além do necessário, convertendo em pretensa “lacuna” aquilo que é matéria ordinária de composição de custos e organização empresarial do licitante.</w:t>
      </w:r>
    </w:p>
    <w:p w14:paraId="14D54858" w14:textId="34391C43" w:rsidR="00FA063A" w:rsidRDefault="00FA063A" w:rsidP="00FA063A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FA063A">
        <w:rPr>
          <w:rFonts w:ascii="Cambria" w:hAnsi="Cambria"/>
          <w:sz w:val="24"/>
          <w:szCs w:val="24"/>
        </w:rPr>
        <w:t>Também não há demonstração concreta de risco de sobrepreço ou de desequilíbrio econômico-financeiro gerado pelo edital. A argumentação apresentada é meramente hipotética. O instrumento convocatório prevê parâmetros suficientes para que cada licitante, conforme sua estrutura operacional, estime custos e formule proposta. A existência de margem empresarial de avaliação de risco é inerente a qualquer contratação e não invalida o edital quando o objeto está adequadamente delimitado, como ocorre na hipótese. Ademais, a Lei nº 14.133/2021 confere à Administração competência para modelar a contratação de acordo com suas necessidades, desde que respeitados os princípios da legalidade, do planejamento, da competitividade e do julgamento objetivo, todos observados no presente certame.</w:t>
      </w:r>
    </w:p>
    <w:p w14:paraId="312BF408" w14:textId="4DDFBE8E" w:rsidR="005E1F92" w:rsidRDefault="00FA063A" w:rsidP="00FA063A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FA063A">
        <w:rPr>
          <w:rFonts w:ascii="Cambria" w:hAnsi="Cambria"/>
          <w:sz w:val="24"/>
          <w:szCs w:val="24"/>
        </w:rPr>
        <w:t>Por fim, cumpre observar que o edital estabelece, em favor da ampliação da disputa, que suas normas serão sempre interpretadas de modo a ampliar a participação dos interessados, desde que não comprometam o interesse da Administração, a isonomia, a finalidade e a segurança da contratação.</w:t>
      </w:r>
      <w:r w:rsidRPr="00FA063A">
        <w:rPr>
          <w:rFonts w:ascii="Cambria" w:hAnsi="Cambria"/>
          <w:sz w:val="24"/>
          <w:szCs w:val="24"/>
        </w:rPr>
        <w:t xml:space="preserve"> </w:t>
      </w:r>
      <w:r w:rsidRPr="00FA063A">
        <w:rPr>
          <w:rFonts w:ascii="Cambria" w:hAnsi="Cambria"/>
          <w:sz w:val="24"/>
          <w:szCs w:val="24"/>
        </w:rPr>
        <w:t>Não há, portanto, qualquer elemento que revele restrição indevida à competitividade ou insuficiência material do objeto. Ao revés, o edital está compatível com a natureza do serviço e apto a propiciar julgamento objetivo das propostas.</w:t>
      </w:r>
    </w:p>
    <w:p w14:paraId="1B9E2D6D" w14:textId="77777777" w:rsidR="00FA063A" w:rsidRPr="004C1C63" w:rsidRDefault="00FA063A" w:rsidP="00FA063A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</w:p>
    <w:p w14:paraId="19247A2E" w14:textId="3D004BCE" w:rsidR="000D19BB" w:rsidRPr="000D19BB" w:rsidRDefault="000D19BB" w:rsidP="000D19BB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CONCLUSÃO</w:t>
      </w:r>
    </w:p>
    <w:p w14:paraId="1CA2FFA5" w14:textId="04524853" w:rsidR="00F50A2C" w:rsidRPr="00F50A2C" w:rsidRDefault="00F50A2C" w:rsidP="00F50A2C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50A2C">
        <w:rPr>
          <w:rFonts w:ascii="Cambria" w:hAnsi="Cambria"/>
          <w:color w:val="auto"/>
          <w:shd w:val="clear" w:color="auto" w:fill="FFFFFF"/>
          <w:lang w:val="pt-PT"/>
        </w:rPr>
        <w:t xml:space="preserve">Ante o exposto, recebo a impugnação apresentada pela empresa </w:t>
      </w:r>
      <w:r w:rsidR="00FA063A" w:rsidRPr="00FA063A">
        <w:rPr>
          <w:rFonts w:ascii="Cambria" w:hAnsi="Cambria"/>
          <w:b/>
          <w:bCs/>
          <w:color w:val="auto"/>
          <w:shd w:val="clear" w:color="auto" w:fill="FFFFFF"/>
          <w:lang w:val="pt-PT"/>
        </w:rPr>
        <w:t>ERICK FERREIRA LEITE</w:t>
      </w:r>
      <w:r w:rsidR="00FA063A">
        <w:rPr>
          <w:rFonts w:ascii="Cambria" w:hAnsi="Cambria"/>
          <w:b/>
          <w:bCs/>
          <w:color w:val="auto"/>
          <w:shd w:val="clear" w:color="auto" w:fill="FFFFFF"/>
          <w:lang w:val="pt-PT"/>
        </w:rPr>
        <w:t xml:space="preserve"> </w:t>
      </w:r>
      <w:r w:rsidR="00FA063A" w:rsidRPr="00F50A2C">
        <w:rPr>
          <w:rFonts w:ascii="Cambria" w:hAnsi="Cambria"/>
          <w:color w:val="auto"/>
          <w:shd w:val="clear" w:color="auto" w:fill="FFFFFF"/>
          <w:lang w:val="pt-PT"/>
        </w:rPr>
        <w:t>e</w:t>
      </w:r>
      <w:r w:rsidRPr="00F50A2C">
        <w:rPr>
          <w:rFonts w:ascii="Cambria" w:hAnsi="Cambria"/>
          <w:color w:val="auto"/>
          <w:shd w:val="clear" w:color="auto" w:fill="FFFFFF"/>
          <w:lang w:val="pt-PT"/>
        </w:rPr>
        <w:t xml:space="preserve">, no mérito, </w:t>
      </w:r>
      <w:r w:rsidRPr="00F50A2C">
        <w:rPr>
          <w:rFonts w:ascii="Cambria" w:hAnsi="Cambria"/>
          <w:b/>
          <w:bCs/>
          <w:color w:val="auto"/>
          <w:shd w:val="clear" w:color="auto" w:fill="FFFFFF"/>
          <w:lang w:val="pt-PT"/>
        </w:rPr>
        <w:t>INDEFIRO</w:t>
      </w:r>
      <w:r w:rsidRPr="00F50A2C">
        <w:rPr>
          <w:rFonts w:ascii="Cambria" w:hAnsi="Cambria"/>
          <w:color w:val="auto"/>
          <w:shd w:val="clear" w:color="auto" w:fill="FFFFFF"/>
          <w:lang w:val="pt-PT"/>
        </w:rPr>
        <w:t xml:space="preserve"> os argumentos expendidos, mantendo-se integralmente as disposições do Edital do Pregão Eletrônico nº </w:t>
      </w:r>
      <w:r w:rsidR="00FA063A">
        <w:rPr>
          <w:rFonts w:ascii="Cambria" w:hAnsi="Cambria"/>
          <w:color w:val="auto"/>
          <w:shd w:val="clear" w:color="auto" w:fill="FFFFFF"/>
          <w:lang w:val="pt-PT"/>
        </w:rPr>
        <w:t>007</w:t>
      </w:r>
      <w:r w:rsidRPr="00F50A2C">
        <w:rPr>
          <w:rFonts w:ascii="Cambria" w:hAnsi="Cambria"/>
          <w:color w:val="auto"/>
          <w:shd w:val="clear" w:color="auto" w:fill="FFFFFF"/>
          <w:lang w:val="pt-PT"/>
        </w:rPr>
        <w:t>/2026.</w:t>
      </w:r>
    </w:p>
    <w:p w14:paraId="6D781DFD" w14:textId="77777777" w:rsidR="00FA063A" w:rsidRDefault="00FA063A" w:rsidP="004C1C63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A063A">
        <w:rPr>
          <w:rFonts w:ascii="Cambria" w:hAnsi="Cambria"/>
          <w:color w:val="auto"/>
          <w:shd w:val="clear" w:color="auto" w:fill="FFFFFF"/>
          <w:lang w:val="pt-PT"/>
        </w:rPr>
        <w:lastRenderedPageBreak/>
        <w:t>Mantêm-se íntegras as cláusulas do edital e do Termo de Referência, porquanto o objeto se encontra adequadamente descrito, com delimitação suficiente da unidade de fornecimento, do quantitativo máximo por item, das condições de execução e dos padrões mínimos de qualidade exigidos, em conformidade com a Lei nº 14.133/2021.</w:t>
      </w:r>
    </w:p>
    <w:p w14:paraId="03C41161" w14:textId="1D20630C" w:rsidR="004C1C63" w:rsidRPr="000D19BB" w:rsidRDefault="00FA063A" w:rsidP="00F50A2C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A063A">
        <w:rPr>
          <w:rFonts w:ascii="Cambria" w:hAnsi="Cambria"/>
          <w:color w:val="auto"/>
          <w:shd w:val="clear" w:color="auto" w:fill="FFFFFF"/>
          <w:lang w:val="pt-PT"/>
        </w:rPr>
        <w:t>Considerando que o certame foi suspenso para análise da impugnaç</w:t>
      </w:r>
      <w:r>
        <w:rPr>
          <w:rFonts w:ascii="Cambria" w:hAnsi="Cambria"/>
          <w:color w:val="auto"/>
          <w:shd w:val="clear" w:color="auto" w:fill="FFFFFF"/>
          <w:lang w:val="pt-PT"/>
        </w:rPr>
        <w:t>ão</w:t>
      </w:r>
      <w:r w:rsidRPr="00FA063A">
        <w:rPr>
          <w:rFonts w:ascii="Cambria" w:hAnsi="Cambria"/>
          <w:color w:val="auto"/>
          <w:shd w:val="clear" w:color="auto" w:fill="FFFFFF"/>
          <w:lang w:val="pt-PT"/>
        </w:rPr>
        <w:t xml:space="preserve"> e revisão do instrumento convocatório, determino a republicação do edital, com reabertura dos prazos legais e designação de nova data para realização da sessão pública, nos termos da legislação vigente.</w:t>
      </w:r>
    </w:p>
    <w:p w14:paraId="4231B8DA" w14:textId="77777777" w:rsidR="00F50A2C" w:rsidRDefault="00F50A2C" w:rsidP="000D19BB">
      <w:pPr>
        <w:spacing w:before="240"/>
        <w:jc w:val="right"/>
        <w:rPr>
          <w:rFonts w:ascii="Cambria" w:hAnsi="Cambria" w:cs="Times New Roman"/>
          <w:bCs/>
          <w:iCs/>
          <w:sz w:val="24"/>
          <w:szCs w:val="24"/>
        </w:rPr>
      </w:pPr>
    </w:p>
    <w:p w14:paraId="12EDC9C0" w14:textId="2B53CCD7" w:rsidR="000D19BB" w:rsidRPr="000D19BB" w:rsidRDefault="000D19BB" w:rsidP="000D19BB">
      <w:pPr>
        <w:spacing w:before="240"/>
        <w:jc w:val="right"/>
        <w:rPr>
          <w:rFonts w:ascii="Cambria" w:hAnsi="Cambria" w:cs="Times New Roman"/>
          <w:b/>
          <w:i/>
        </w:rPr>
      </w:pPr>
      <w:r w:rsidRPr="000D19BB">
        <w:rPr>
          <w:rFonts w:ascii="Cambria" w:hAnsi="Cambria" w:cs="Times New Roman"/>
          <w:bCs/>
          <w:iCs/>
          <w:sz w:val="24"/>
          <w:szCs w:val="24"/>
        </w:rPr>
        <w:t xml:space="preserve">Jardim do Seridó/RN, </w:t>
      </w:r>
      <w:r w:rsidR="00FA063A">
        <w:rPr>
          <w:rFonts w:ascii="Cambria" w:hAnsi="Cambria" w:cs="Times New Roman"/>
          <w:bCs/>
          <w:iCs/>
          <w:sz w:val="24"/>
          <w:szCs w:val="24"/>
        </w:rPr>
        <w:t>24 de março</w:t>
      </w:r>
      <w:r w:rsidRPr="000D19BB">
        <w:rPr>
          <w:rFonts w:ascii="Cambria" w:hAnsi="Cambria" w:cs="Times New Roman"/>
          <w:bCs/>
          <w:iCs/>
          <w:sz w:val="24"/>
          <w:szCs w:val="24"/>
        </w:rPr>
        <w:t xml:space="preserve"> de 202</w:t>
      </w:r>
      <w:r w:rsidR="007E2798">
        <w:rPr>
          <w:rFonts w:ascii="Cambria" w:hAnsi="Cambria" w:cs="Times New Roman"/>
          <w:bCs/>
          <w:iCs/>
          <w:sz w:val="24"/>
          <w:szCs w:val="24"/>
        </w:rPr>
        <w:t>6</w:t>
      </w:r>
      <w:r w:rsidRPr="000D19BB">
        <w:rPr>
          <w:rFonts w:ascii="Cambria" w:hAnsi="Cambria" w:cs="Times New Roman"/>
          <w:bCs/>
          <w:iCs/>
          <w:sz w:val="24"/>
          <w:szCs w:val="24"/>
        </w:rPr>
        <w:t>.</w:t>
      </w:r>
    </w:p>
    <w:p w14:paraId="476177A2" w14:textId="2C5892A1" w:rsid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5CFDFD5C" w14:textId="77777777" w:rsidR="00245B03" w:rsidRPr="000D19BB" w:rsidRDefault="00245B03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42A31409" w14:textId="77777777" w:rsidR="000D19BB" w:rsidRP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054470E5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</w:p>
    <w:p w14:paraId="2DABB50B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  <w:r w:rsidRPr="000D19BB">
        <w:rPr>
          <w:rFonts w:ascii="Cambria" w:hAnsi="Cambria" w:cs="Times New Roman"/>
          <w:b/>
          <w:i/>
          <w:iCs/>
          <w:sz w:val="24"/>
          <w:szCs w:val="24"/>
        </w:rPr>
        <w:t>José Fernandes de Oliveira Neto</w:t>
      </w:r>
    </w:p>
    <w:p w14:paraId="2F4D3526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Cs/>
          <w:i/>
          <w:iCs/>
          <w:sz w:val="24"/>
          <w:szCs w:val="24"/>
        </w:rPr>
      </w:pPr>
      <w:r w:rsidRPr="000D19BB">
        <w:rPr>
          <w:rFonts w:ascii="Cambria" w:hAnsi="Cambria" w:cs="Times New Roman"/>
          <w:bCs/>
          <w:i/>
          <w:iCs/>
          <w:sz w:val="24"/>
          <w:szCs w:val="24"/>
        </w:rPr>
        <w:t>Pregoeiro Municipal</w:t>
      </w:r>
    </w:p>
    <w:p w14:paraId="0EBF5F59" w14:textId="77777777" w:rsidR="000D19BB" w:rsidRPr="00A81304" w:rsidRDefault="000D19BB" w:rsidP="000D19BB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</w:p>
    <w:sectPr w:rsidR="000D19BB" w:rsidRPr="00A8130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5DAD2A" w14:textId="77777777" w:rsidR="00B3433F" w:rsidRDefault="00B3433F" w:rsidP="00510D4F">
      <w:pPr>
        <w:spacing w:after="0" w:line="240" w:lineRule="auto"/>
      </w:pPr>
      <w:r>
        <w:separator/>
      </w:r>
    </w:p>
  </w:endnote>
  <w:endnote w:type="continuationSeparator" w:id="0">
    <w:p w14:paraId="096C5884" w14:textId="77777777" w:rsidR="00B3433F" w:rsidRDefault="00B3433F" w:rsidP="0051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TM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E87462" w14:textId="77777777" w:rsidR="00B3433F" w:rsidRDefault="00B3433F" w:rsidP="00510D4F">
      <w:pPr>
        <w:spacing w:after="0" w:line="240" w:lineRule="auto"/>
      </w:pPr>
      <w:r>
        <w:separator/>
      </w:r>
    </w:p>
  </w:footnote>
  <w:footnote w:type="continuationSeparator" w:id="0">
    <w:p w14:paraId="62C1FD19" w14:textId="77777777" w:rsidR="00B3433F" w:rsidRDefault="00B3433F" w:rsidP="00510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1CFE4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BaskervilleTMed" w:hAnsi="BaskervilleTMed"/>
        <w:sz w:val="18"/>
        <w:szCs w:val="24"/>
      </w:rPr>
    </w:pPr>
    <w:r>
      <w:rPr>
        <w:rFonts w:ascii="BaskervilleTMed" w:hAnsi="BaskervilleTMed"/>
        <w:sz w:val="18"/>
        <w:szCs w:val="24"/>
      </w:rPr>
      <w:object w:dxaOrig="2565" w:dyaOrig="4694" w14:anchorId="1C9C3D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6pt;height:49.2pt" fillcolor="window">
          <v:imagedata r:id="rId1" o:title=""/>
        </v:shape>
        <o:OLEObject Type="Embed" ProgID="PBrush" ShapeID="_x0000_i1025" DrawAspect="Content" ObjectID="_1835845298" r:id="rId2"/>
      </w:object>
    </w:r>
  </w:p>
  <w:p w14:paraId="61F11A72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ESTADO DO RIO GRANDE DO NORTE</w:t>
    </w:r>
  </w:p>
  <w:p w14:paraId="79905F3A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PREFEITURA DO MUNICÍPIO DE JARDIM DO SERIDÓ</w:t>
    </w:r>
  </w:p>
  <w:p w14:paraId="32A22FC7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Centro de Múltiplo Uso “Prefeito Pedro Izidro de Medeiros”</w:t>
    </w:r>
  </w:p>
  <w:p w14:paraId="130FBAF0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ab/>
    </w:r>
    <w:r w:rsidRPr="00EE0B53">
      <w:rPr>
        <w:rFonts w:ascii="Times New Roman" w:hAnsi="Times New Roman" w:cs="Times New Roman"/>
        <w:sz w:val="18"/>
        <w:szCs w:val="18"/>
      </w:rPr>
      <w:tab/>
      <w:t>Praça “Prefeito Manoel Paulino dos Santos Filho” nº 228, Centro, Jardim do Seridó/RN CEP: 59343-000</w:t>
    </w:r>
  </w:p>
  <w:p w14:paraId="5D835444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Fones: (84) 3472.3900 – (84) 99655-1542</w:t>
    </w:r>
  </w:p>
  <w:p w14:paraId="12448EB2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CNPJ 08.086.662/0001-38</w:t>
    </w:r>
  </w:p>
  <w:p w14:paraId="037D3D91" w14:textId="77777777" w:rsidR="00510D4F" w:rsidRDefault="00510D4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08068C"/>
    <w:multiLevelType w:val="multilevel"/>
    <w:tmpl w:val="FF6EE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" w15:restartNumberingAfterBreak="0">
    <w:nsid w:val="320D6B88"/>
    <w:multiLevelType w:val="hybridMultilevel"/>
    <w:tmpl w:val="342C070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35A111F2"/>
    <w:multiLevelType w:val="hybridMultilevel"/>
    <w:tmpl w:val="34D8A92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93D1293"/>
    <w:multiLevelType w:val="hybridMultilevel"/>
    <w:tmpl w:val="ACAA90E4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AF80130"/>
    <w:multiLevelType w:val="multilevel"/>
    <w:tmpl w:val="5824B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CF62CB"/>
    <w:multiLevelType w:val="multilevel"/>
    <w:tmpl w:val="9EEA1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6A707A1"/>
    <w:multiLevelType w:val="multilevel"/>
    <w:tmpl w:val="9EEA1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6BD5286"/>
    <w:multiLevelType w:val="hybridMultilevel"/>
    <w:tmpl w:val="79427A8E"/>
    <w:lvl w:ilvl="0" w:tplc="E4982082">
      <w:numFmt w:val="bullet"/>
      <w:lvlText w:val=""/>
      <w:lvlJc w:val="left"/>
      <w:pPr>
        <w:ind w:left="1068" w:hanging="360"/>
      </w:pPr>
      <w:rPr>
        <w:rFonts w:ascii="Cambria" w:eastAsiaTheme="minorHAnsi" w:hAnsi="Cambria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1857E87"/>
    <w:multiLevelType w:val="hybridMultilevel"/>
    <w:tmpl w:val="C0923024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E95465"/>
    <w:multiLevelType w:val="multilevel"/>
    <w:tmpl w:val="C27C8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784D98"/>
    <w:multiLevelType w:val="multilevel"/>
    <w:tmpl w:val="EA08F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930A3C"/>
    <w:multiLevelType w:val="hybridMultilevel"/>
    <w:tmpl w:val="AAD667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5"/>
  </w:num>
  <w:num w:numId="5">
    <w:abstractNumId w:val="6"/>
  </w:num>
  <w:num w:numId="6">
    <w:abstractNumId w:val="4"/>
  </w:num>
  <w:num w:numId="7">
    <w:abstractNumId w:val="1"/>
  </w:num>
  <w:num w:numId="8">
    <w:abstractNumId w:val="2"/>
  </w:num>
  <w:num w:numId="9">
    <w:abstractNumId w:val="10"/>
  </w:num>
  <w:num w:numId="10">
    <w:abstractNumId w:val="3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D4F"/>
    <w:rsid w:val="0000421C"/>
    <w:rsid w:val="00056017"/>
    <w:rsid w:val="000D19BB"/>
    <w:rsid w:val="001B28B6"/>
    <w:rsid w:val="001F7F98"/>
    <w:rsid w:val="00230A18"/>
    <w:rsid w:val="00245B03"/>
    <w:rsid w:val="002A34F5"/>
    <w:rsid w:val="002B0810"/>
    <w:rsid w:val="00421EF2"/>
    <w:rsid w:val="004A24D3"/>
    <w:rsid w:val="004C1C63"/>
    <w:rsid w:val="00510D4F"/>
    <w:rsid w:val="00565787"/>
    <w:rsid w:val="005E1F92"/>
    <w:rsid w:val="006863CC"/>
    <w:rsid w:val="006B51A0"/>
    <w:rsid w:val="00711A18"/>
    <w:rsid w:val="007809CE"/>
    <w:rsid w:val="007E2798"/>
    <w:rsid w:val="00941586"/>
    <w:rsid w:val="009B0644"/>
    <w:rsid w:val="00A41D3F"/>
    <w:rsid w:val="00A81304"/>
    <w:rsid w:val="00B3433F"/>
    <w:rsid w:val="00D66975"/>
    <w:rsid w:val="00DD1DD9"/>
    <w:rsid w:val="00DE60B8"/>
    <w:rsid w:val="00E73E2C"/>
    <w:rsid w:val="00E77B9E"/>
    <w:rsid w:val="00F319D4"/>
    <w:rsid w:val="00F50A2C"/>
    <w:rsid w:val="00FA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0A64E8"/>
  <w15:chartTrackingRefBased/>
  <w15:docId w15:val="{7E9E05CA-A9E7-470F-885A-53DFACEBE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57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,Char"/>
    <w:basedOn w:val="Normal"/>
    <w:link w:val="CabealhoChar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 Char Char,Char Char"/>
    <w:basedOn w:val="Fontepargpadro"/>
    <w:link w:val="Cabealho"/>
    <w:rsid w:val="00510D4F"/>
  </w:style>
  <w:style w:type="paragraph" w:styleId="Rodap">
    <w:name w:val="footer"/>
    <w:basedOn w:val="Normal"/>
    <w:link w:val="RodapChar"/>
    <w:uiPriority w:val="99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10D4F"/>
  </w:style>
  <w:style w:type="paragraph" w:styleId="PargrafodaLista">
    <w:name w:val="List Paragraph"/>
    <w:basedOn w:val="Normal"/>
    <w:uiPriority w:val="34"/>
    <w:qFormat/>
    <w:rsid w:val="00510D4F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56578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565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65787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D19B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D19BB"/>
    <w:rPr>
      <w:rFonts w:ascii="Arial" w:eastAsia="Arial" w:hAnsi="Arial" w:cs="Arial"/>
      <w:sz w:val="24"/>
      <w:szCs w:val="24"/>
      <w:lang w:val="pt-PT"/>
    </w:rPr>
  </w:style>
  <w:style w:type="paragraph" w:customStyle="1" w:styleId="Default">
    <w:name w:val="Default"/>
    <w:rsid w:val="000D19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relative">
    <w:name w:val="relative"/>
    <w:basedOn w:val="Fontepargpadro"/>
    <w:rsid w:val="00F50A2C"/>
  </w:style>
  <w:style w:type="paragraph" w:customStyle="1" w:styleId="not-prose">
    <w:name w:val="not-prose"/>
    <w:basedOn w:val="Normal"/>
    <w:rsid w:val="00F50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7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9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6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9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1554</Words>
  <Characters>8395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2</cp:revision>
  <cp:lastPrinted>2026-02-26T14:39:00Z</cp:lastPrinted>
  <dcterms:created xsi:type="dcterms:W3CDTF">2026-03-24T11:15:00Z</dcterms:created>
  <dcterms:modified xsi:type="dcterms:W3CDTF">2026-03-24T11:15:00Z</dcterms:modified>
</cp:coreProperties>
</file>