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168C39" w14:textId="2053FAF8" w:rsidR="00510D4F" w:rsidRDefault="00510D4F" w:rsidP="00510D4F">
      <w:pPr>
        <w:spacing w:line="360" w:lineRule="auto"/>
        <w:jc w:val="center"/>
        <w:rPr>
          <w:rFonts w:ascii="Cambria" w:hAnsi="Cambria"/>
          <w:b/>
          <w:bCs/>
          <w:sz w:val="32"/>
          <w:szCs w:val="32"/>
          <w:u w:val="single"/>
        </w:rPr>
      </w:pPr>
      <w:r w:rsidRPr="00510D4F">
        <w:rPr>
          <w:rFonts w:ascii="Cambria" w:hAnsi="Cambria"/>
          <w:b/>
          <w:bCs/>
          <w:sz w:val="32"/>
          <w:szCs w:val="32"/>
          <w:u w:val="single"/>
        </w:rPr>
        <w:t xml:space="preserve">RESPOSTA À IMPUGNAÇÃO DO EDITAL DE LICITAÇÃO PREGÃO ELETRÔNICO Nº </w:t>
      </w:r>
      <w:r w:rsidR="005A3646">
        <w:rPr>
          <w:rFonts w:ascii="Cambria" w:hAnsi="Cambria"/>
          <w:b/>
          <w:bCs/>
          <w:sz w:val="32"/>
          <w:szCs w:val="32"/>
          <w:u w:val="single"/>
        </w:rPr>
        <w:t>081</w:t>
      </w:r>
      <w:r w:rsidRPr="00510D4F">
        <w:rPr>
          <w:rFonts w:ascii="Cambria" w:hAnsi="Cambria"/>
          <w:b/>
          <w:bCs/>
          <w:sz w:val="32"/>
          <w:szCs w:val="32"/>
          <w:u w:val="single"/>
        </w:rPr>
        <w:t>/2025</w:t>
      </w:r>
    </w:p>
    <w:p w14:paraId="587FC184" w14:textId="6FC839DF" w:rsidR="00230A18" w:rsidRDefault="00510D4F" w:rsidP="00510D4F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510D4F">
        <w:rPr>
          <w:rFonts w:ascii="Cambria" w:hAnsi="Cambria"/>
          <w:b/>
          <w:bCs/>
          <w:sz w:val="24"/>
          <w:szCs w:val="24"/>
        </w:rPr>
        <w:t xml:space="preserve">OBJETO: </w:t>
      </w:r>
      <w:r w:rsidR="000E0BAA" w:rsidRPr="000E0BAA">
        <w:rPr>
          <w:rFonts w:ascii="Cambria" w:hAnsi="Cambria"/>
          <w:sz w:val="24"/>
          <w:szCs w:val="24"/>
        </w:rPr>
        <w:t xml:space="preserve">Aquisição </w:t>
      </w:r>
      <w:r w:rsidR="000E0BAA">
        <w:rPr>
          <w:rFonts w:ascii="Cambria" w:hAnsi="Cambria"/>
          <w:sz w:val="24"/>
          <w:szCs w:val="24"/>
        </w:rPr>
        <w:t>d</w:t>
      </w:r>
      <w:r w:rsidR="000E0BAA" w:rsidRPr="000E0BAA">
        <w:rPr>
          <w:rFonts w:ascii="Cambria" w:hAnsi="Cambria"/>
          <w:sz w:val="24"/>
          <w:szCs w:val="24"/>
        </w:rPr>
        <w:t xml:space="preserve">e </w:t>
      </w:r>
      <w:r w:rsidR="000E0BAA">
        <w:rPr>
          <w:rFonts w:ascii="Cambria" w:hAnsi="Cambria"/>
          <w:sz w:val="24"/>
          <w:szCs w:val="24"/>
        </w:rPr>
        <w:t>m</w:t>
      </w:r>
      <w:r w:rsidR="000E0BAA" w:rsidRPr="000E0BAA">
        <w:rPr>
          <w:rFonts w:ascii="Cambria" w:hAnsi="Cambria"/>
          <w:sz w:val="24"/>
          <w:szCs w:val="24"/>
        </w:rPr>
        <w:t xml:space="preserve">ateriais </w:t>
      </w:r>
      <w:r w:rsidR="000E0BAA">
        <w:rPr>
          <w:rFonts w:ascii="Cambria" w:hAnsi="Cambria"/>
          <w:sz w:val="24"/>
          <w:szCs w:val="24"/>
        </w:rPr>
        <w:t>p</w:t>
      </w:r>
      <w:r w:rsidR="000E0BAA" w:rsidRPr="000E0BAA">
        <w:rPr>
          <w:rFonts w:ascii="Cambria" w:hAnsi="Cambria"/>
          <w:sz w:val="24"/>
          <w:szCs w:val="24"/>
        </w:rPr>
        <w:t xml:space="preserve">ermanentes </w:t>
      </w:r>
      <w:r w:rsidR="000E0BAA">
        <w:rPr>
          <w:rFonts w:ascii="Cambria" w:hAnsi="Cambria"/>
          <w:sz w:val="24"/>
          <w:szCs w:val="24"/>
        </w:rPr>
        <w:t>d</w:t>
      </w:r>
      <w:r w:rsidR="000E0BAA" w:rsidRPr="000E0BAA">
        <w:rPr>
          <w:rFonts w:ascii="Cambria" w:hAnsi="Cambria"/>
          <w:sz w:val="24"/>
          <w:szCs w:val="24"/>
        </w:rPr>
        <w:t xml:space="preserve">estinados </w:t>
      </w:r>
      <w:r w:rsidR="000E0BAA">
        <w:rPr>
          <w:rFonts w:ascii="Cambria" w:hAnsi="Cambria"/>
          <w:sz w:val="24"/>
          <w:szCs w:val="24"/>
        </w:rPr>
        <w:t>à</w:t>
      </w:r>
      <w:r w:rsidR="000E0BAA" w:rsidRPr="000E0BAA">
        <w:rPr>
          <w:rFonts w:ascii="Cambria" w:hAnsi="Cambria"/>
          <w:sz w:val="24"/>
          <w:szCs w:val="24"/>
        </w:rPr>
        <w:t xml:space="preserve">s Unidades Básicas </w:t>
      </w:r>
      <w:r w:rsidR="000E0BAA">
        <w:rPr>
          <w:rFonts w:ascii="Cambria" w:hAnsi="Cambria"/>
          <w:sz w:val="24"/>
          <w:szCs w:val="24"/>
        </w:rPr>
        <w:t>d</w:t>
      </w:r>
      <w:r w:rsidR="000E0BAA" w:rsidRPr="000E0BAA">
        <w:rPr>
          <w:rFonts w:ascii="Cambria" w:hAnsi="Cambria"/>
          <w:sz w:val="24"/>
          <w:szCs w:val="24"/>
        </w:rPr>
        <w:t>e Saúde (</w:t>
      </w:r>
      <w:proofErr w:type="spellStart"/>
      <w:r w:rsidR="000E0BAA" w:rsidRPr="000E0BAA">
        <w:rPr>
          <w:rFonts w:ascii="Cambria" w:hAnsi="Cambria"/>
          <w:sz w:val="24"/>
          <w:szCs w:val="24"/>
        </w:rPr>
        <w:t>U</w:t>
      </w:r>
      <w:r w:rsidR="000E0BAA">
        <w:rPr>
          <w:rFonts w:ascii="Cambria" w:hAnsi="Cambria"/>
          <w:sz w:val="24"/>
          <w:szCs w:val="24"/>
        </w:rPr>
        <w:t>BS’</w:t>
      </w:r>
      <w:r w:rsidR="000E0BAA" w:rsidRPr="000E0BAA">
        <w:rPr>
          <w:rFonts w:ascii="Cambria" w:hAnsi="Cambria"/>
          <w:sz w:val="24"/>
          <w:szCs w:val="24"/>
        </w:rPr>
        <w:t>s</w:t>
      </w:r>
      <w:proofErr w:type="spellEnd"/>
      <w:r w:rsidR="000E0BAA" w:rsidRPr="000E0BAA">
        <w:rPr>
          <w:rFonts w:ascii="Cambria" w:hAnsi="Cambria"/>
          <w:sz w:val="24"/>
          <w:szCs w:val="24"/>
        </w:rPr>
        <w:t>)</w:t>
      </w:r>
      <w:r w:rsidR="000E0BAA">
        <w:rPr>
          <w:rFonts w:ascii="Cambria" w:hAnsi="Cambria"/>
          <w:sz w:val="24"/>
          <w:szCs w:val="24"/>
        </w:rPr>
        <w:t>.</w:t>
      </w:r>
    </w:p>
    <w:p w14:paraId="1AD6E1FF" w14:textId="53E7E736" w:rsidR="00230A18" w:rsidRPr="00230A18" w:rsidRDefault="00510D4F" w:rsidP="00230A18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DA TEMPESTIVIDADE</w:t>
      </w:r>
    </w:p>
    <w:p w14:paraId="32136C22" w14:textId="390388BB" w:rsidR="00230A18" w:rsidRDefault="000E0BAA" w:rsidP="00230A18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0E0BAA">
        <w:rPr>
          <w:rFonts w:ascii="Cambria" w:hAnsi="Cambria"/>
          <w:sz w:val="24"/>
          <w:szCs w:val="24"/>
        </w:rPr>
        <w:t xml:space="preserve">Trata-se da análise da impugnação interposta pela empresa </w:t>
      </w:r>
      <w:r w:rsidRPr="000E0BAA">
        <w:rPr>
          <w:rFonts w:ascii="Cambria" w:hAnsi="Cambria"/>
          <w:b/>
          <w:bCs/>
          <w:sz w:val="24"/>
          <w:szCs w:val="24"/>
        </w:rPr>
        <w:t>E. TRIPODE INDÚSTRIA E COMÉRCIO DE MÓVEIS LTDA</w:t>
      </w:r>
      <w:r w:rsidRPr="000E0BAA">
        <w:rPr>
          <w:rFonts w:ascii="Cambria" w:hAnsi="Cambria"/>
          <w:sz w:val="24"/>
          <w:szCs w:val="24"/>
        </w:rPr>
        <w:t xml:space="preserve">, inscrita no CNPJ sob o nº </w:t>
      </w:r>
      <w:r w:rsidRPr="000E0BAA">
        <w:rPr>
          <w:rFonts w:ascii="Cambria" w:hAnsi="Cambria"/>
          <w:b/>
          <w:bCs/>
          <w:sz w:val="24"/>
          <w:szCs w:val="24"/>
        </w:rPr>
        <w:t>22.228.425/0001-95</w:t>
      </w:r>
      <w:r w:rsidRPr="000E0BAA">
        <w:rPr>
          <w:rFonts w:ascii="Cambria" w:hAnsi="Cambria"/>
          <w:sz w:val="24"/>
          <w:szCs w:val="24"/>
        </w:rPr>
        <w:t>, em face de cláusula do Edital do Pregão Eletrônico nº 081/2025 que fixa o prazo máximo de 05 (cinco) dias úteis para entrega dos materiais, contados do recebimento da Nota de Empenho.</w:t>
      </w:r>
      <w:r w:rsidR="00230A18">
        <w:rPr>
          <w:rFonts w:ascii="Cambria" w:hAnsi="Cambria"/>
          <w:sz w:val="24"/>
          <w:szCs w:val="24"/>
        </w:rPr>
        <w:t xml:space="preserve"> </w:t>
      </w:r>
    </w:p>
    <w:p w14:paraId="67E3BFCD" w14:textId="5471F010" w:rsidR="00230A18" w:rsidRPr="00230A18" w:rsidRDefault="00230A18" w:rsidP="00230A18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230A18">
        <w:rPr>
          <w:rFonts w:ascii="Cambria" w:hAnsi="Cambria"/>
          <w:sz w:val="24"/>
          <w:szCs w:val="24"/>
        </w:rPr>
        <w:t>De acordo com o art. 164, parágrafo único, da Lei nº 14.133/2021, a impugnação ao edital deve ser protocolada até 3 (três) dias úteis antes da data de abertura do certame.</w:t>
      </w:r>
    </w:p>
    <w:p w14:paraId="70FF71EF" w14:textId="3AB745D7" w:rsidR="00565787" w:rsidRDefault="00A11E03" w:rsidP="00230A18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A11E03">
        <w:rPr>
          <w:rFonts w:ascii="Cambria" w:hAnsi="Cambria"/>
          <w:sz w:val="24"/>
          <w:szCs w:val="24"/>
        </w:rPr>
        <w:t>Verifica-se que a impugnação foi apresentada dentro do prazo legal, motivo pelo qual se reconhece a sua tempestividade, bem como a legitimidade e o interesse da impugnante.</w:t>
      </w:r>
    </w:p>
    <w:p w14:paraId="23FF2F16" w14:textId="77777777" w:rsidR="00F719DA" w:rsidRDefault="00F719DA" w:rsidP="00230A18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</w:p>
    <w:p w14:paraId="0B10A92C" w14:textId="349222E2" w:rsidR="00F719DA" w:rsidRPr="00F719DA" w:rsidRDefault="00565787" w:rsidP="00F719DA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b/>
          <w:bCs/>
          <w:sz w:val="24"/>
          <w:szCs w:val="24"/>
        </w:rPr>
      </w:pPr>
      <w:r w:rsidRPr="00565787">
        <w:rPr>
          <w:rFonts w:ascii="Cambria" w:hAnsi="Cambria"/>
          <w:b/>
          <w:bCs/>
          <w:sz w:val="24"/>
          <w:szCs w:val="24"/>
        </w:rPr>
        <w:t>SÍNTESE DAS TESES E ARGUMENTOS DA IMPUGNANTE</w:t>
      </w:r>
    </w:p>
    <w:p w14:paraId="2D3DABBA" w14:textId="77777777" w:rsidR="00F719DA" w:rsidRPr="00F719DA" w:rsidRDefault="00F719DA" w:rsidP="00F719DA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F719DA">
        <w:rPr>
          <w:rFonts w:ascii="Cambria" w:hAnsi="Cambria"/>
          <w:sz w:val="24"/>
          <w:szCs w:val="24"/>
        </w:rPr>
        <w:t>A impugnante sustenta, em síntese, que o prazo de 03 (três) dias úteis previsto no item 10.18.5.2 do edital para apresentação de amostra seria exíguo, considerando o tempo necessário para fabricação do mobiliário, aquisição de insumos e logística de transporte.</w:t>
      </w:r>
    </w:p>
    <w:p w14:paraId="31F1C647" w14:textId="77777777" w:rsidR="00F719DA" w:rsidRPr="00F719DA" w:rsidRDefault="00F719DA" w:rsidP="00F719DA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F719DA">
        <w:rPr>
          <w:rFonts w:ascii="Cambria" w:hAnsi="Cambria"/>
          <w:sz w:val="24"/>
          <w:szCs w:val="24"/>
        </w:rPr>
        <w:t>Argumenta que tal exigência comprometeria a competitividade do certame e requer a ampliação do prazo para, no mínimo, 30 (trinta) dias úteis, bem como a suspensão e republicação do edital.</w:t>
      </w:r>
    </w:p>
    <w:p w14:paraId="63B77E0B" w14:textId="77777777" w:rsidR="00F719DA" w:rsidRPr="000E0BAA" w:rsidRDefault="00F719DA" w:rsidP="000E0BAA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</w:p>
    <w:p w14:paraId="106D3830" w14:textId="77777777" w:rsidR="00565787" w:rsidRDefault="00565787" w:rsidP="00565787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</w:p>
    <w:p w14:paraId="4741539B" w14:textId="7D0B094B" w:rsidR="00F719DA" w:rsidRPr="00F719DA" w:rsidRDefault="00565787" w:rsidP="00F719DA">
      <w:pPr>
        <w:pStyle w:val="PargrafodaLista"/>
        <w:numPr>
          <w:ilvl w:val="0"/>
          <w:numId w:val="1"/>
        </w:numPr>
        <w:spacing w:before="240" w:line="360" w:lineRule="auto"/>
        <w:ind w:left="0" w:firstLine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DO MÉRITO</w:t>
      </w:r>
    </w:p>
    <w:p w14:paraId="19162BB0" w14:textId="77777777" w:rsidR="00F719DA" w:rsidRPr="00F719DA" w:rsidRDefault="00F719DA" w:rsidP="00F719D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F719DA">
        <w:rPr>
          <w:rFonts w:ascii="Cambria" w:hAnsi="Cambria"/>
          <w:color w:val="auto"/>
          <w:shd w:val="clear" w:color="auto" w:fill="FFFFFF"/>
          <w:lang w:val="pt-PT"/>
        </w:rPr>
        <w:t>O item 10.18.5.2 do edital estabelece que a exigência de amostra ocorrerá apenas quando a compatibilidade do produto com as especificações demandadas não puder ser aferida pelos meios ordinários de análise técnica e documental. Trata-se, portanto, de medida excepcional e subsidiária, destinada exclusivamente à verificação da conformidade do produto ofertado.</w:t>
      </w:r>
    </w:p>
    <w:p w14:paraId="0296CBD1" w14:textId="77777777" w:rsidR="00F719DA" w:rsidRPr="00F719DA" w:rsidRDefault="00F719DA" w:rsidP="00F719D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F719DA">
        <w:rPr>
          <w:rFonts w:ascii="Cambria" w:hAnsi="Cambria"/>
          <w:color w:val="auto"/>
          <w:shd w:val="clear" w:color="auto" w:fill="FFFFFF"/>
          <w:lang w:val="pt-PT"/>
        </w:rPr>
        <w:t>A apresentação de amostra não se confunde com a fabricação integral do objeto contratual após a convocação. Em procedimentos licitatórios dessa natureza, pressupõe-se que o licitante já possua capacidade produtiva instalada e domínio técnico compatíveis com o objeto descrito no Termo de Referência.</w:t>
      </w:r>
    </w:p>
    <w:p w14:paraId="6E15D256" w14:textId="77777777" w:rsidR="00F719DA" w:rsidRPr="00F719DA" w:rsidRDefault="00F719DA" w:rsidP="00F719D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F719DA">
        <w:rPr>
          <w:rFonts w:ascii="Cambria" w:hAnsi="Cambria"/>
          <w:color w:val="auto"/>
          <w:shd w:val="clear" w:color="auto" w:fill="FFFFFF"/>
          <w:lang w:val="pt-PT"/>
        </w:rPr>
        <w:t>A exigência de amostra visa apenas demonstrar que o produto ofertado atende às especificações técnicas do edital, sendo inerente à própria atividade empresarial manter padrão produtivo compatível com o objeto que se propõe a fornecer.</w:t>
      </w:r>
    </w:p>
    <w:p w14:paraId="56331D09" w14:textId="77777777" w:rsidR="00F719DA" w:rsidRPr="00F719DA" w:rsidRDefault="00F719DA" w:rsidP="00F719D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F719DA">
        <w:rPr>
          <w:rFonts w:ascii="Cambria" w:hAnsi="Cambria"/>
          <w:color w:val="auto"/>
          <w:shd w:val="clear" w:color="auto" w:fill="FFFFFF"/>
          <w:lang w:val="pt-PT"/>
        </w:rPr>
        <w:t>Nos termos do art. 42 da Lei nº 14.133/2021, a Administração poderá exigir amostras quando necessárias à verificação da conformidade da proposta, sendo legítima a fixação de prazo razoável para sua apresentação. No caso concreto, o prazo de 03 (três) dias úteis revela-se proporcional à finalidade da diligência, que é assegurar celeridade e eficiência ao procedimento licitatório.</w:t>
      </w:r>
    </w:p>
    <w:p w14:paraId="01EDD37E" w14:textId="77777777" w:rsidR="00F719DA" w:rsidRPr="00F719DA" w:rsidRDefault="00F719DA" w:rsidP="00F719D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F719DA">
        <w:rPr>
          <w:rFonts w:ascii="Cambria" w:hAnsi="Cambria"/>
          <w:color w:val="auto"/>
          <w:shd w:val="clear" w:color="auto" w:fill="FFFFFF"/>
          <w:lang w:val="pt-PT"/>
        </w:rPr>
        <w:t>A ampliação para 30 (trinta) dias úteis, como pretendido, comprometeria significativamente o andamento do certame e retardaria a aquisição de mobiliário destinado às Unidades Básicas de Saúde, contrariando os princípios da eficiência e do interesse público previstos no art. 5º da Lei nº 14.133/2021.</w:t>
      </w:r>
    </w:p>
    <w:p w14:paraId="1BD7277F" w14:textId="77777777" w:rsidR="00F719DA" w:rsidRPr="00F719DA" w:rsidRDefault="00F719DA" w:rsidP="00F719D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F719DA">
        <w:rPr>
          <w:rFonts w:ascii="Cambria" w:hAnsi="Cambria"/>
          <w:color w:val="auto"/>
          <w:shd w:val="clear" w:color="auto" w:fill="FFFFFF"/>
          <w:lang w:val="pt-PT"/>
        </w:rPr>
        <w:t>A alegação de inexequibilidade baseia-se na realidade específica da impugnante, não demonstrando inviabilidade objetiva para o mercado como um todo. A cláusula aplica-se de forma impessoal e isonômica a todos os licitantes, inexistindo direcionamento ou restrição indevida à competitividade.</w:t>
      </w:r>
    </w:p>
    <w:p w14:paraId="2812F8C0" w14:textId="77777777" w:rsidR="00F719DA" w:rsidRPr="00F719DA" w:rsidRDefault="00F719DA" w:rsidP="00F719D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F719DA">
        <w:rPr>
          <w:rFonts w:ascii="Cambria" w:hAnsi="Cambria"/>
          <w:color w:val="auto"/>
          <w:shd w:val="clear" w:color="auto" w:fill="FFFFFF"/>
          <w:lang w:val="pt-PT"/>
        </w:rPr>
        <w:lastRenderedPageBreak/>
        <w:t xml:space="preserve">Dessa forma, não se verifica qualquer vício ou irregularidade na cláusula </w:t>
      </w:r>
      <w:proofErr w:type="spellStart"/>
      <w:r w:rsidRPr="00F719DA">
        <w:rPr>
          <w:rFonts w:ascii="Cambria" w:hAnsi="Cambria"/>
          <w:color w:val="auto"/>
          <w:shd w:val="clear" w:color="auto" w:fill="FFFFFF"/>
          <w:lang w:val="pt-PT"/>
        </w:rPr>
        <w:t>editalícia</w:t>
      </w:r>
      <w:proofErr w:type="spellEnd"/>
      <w:r w:rsidRPr="00F719DA">
        <w:rPr>
          <w:rFonts w:ascii="Cambria" w:hAnsi="Cambria"/>
          <w:color w:val="auto"/>
          <w:shd w:val="clear" w:color="auto" w:fill="FFFFFF"/>
          <w:lang w:val="pt-PT"/>
        </w:rPr>
        <w:t xml:space="preserve"> impugnada.</w:t>
      </w:r>
    </w:p>
    <w:p w14:paraId="06274A43" w14:textId="77777777" w:rsidR="00245B03" w:rsidRDefault="00245B03" w:rsidP="008B4C90">
      <w:pPr>
        <w:spacing w:line="360" w:lineRule="auto"/>
        <w:jc w:val="both"/>
        <w:rPr>
          <w:rFonts w:ascii="Cambria" w:hAnsi="Cambria"/>
          <w:sz w:val="24"/>
          <w:szCs w:val="24"/>
        </w:rPr>
      </w:pPr>
    </w:p>
    <w:p w14:paraId="4DA3B01C" w14:textId="23C9E2B9" w:rsidR="00F719DA" w:rsidRPr="00F719DA" w:rsidRDefault="000D19BB" w:rsidP="00F719DA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CONCLUSÃO</w:t>
      </w:r>
    </w:p>
    <w:p w14:paraId="028EEF88" w14:textId="407C283B" w:rsidR="00F719DA" w:rsidRPr="00F719DA" w:rsidRDefault="00F719DA" w:rsidP="00F719D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F719DA">
        <w:rPr>
          <w:rFonts w:ascii="Cambria" w:hAnsi="Cambria"/>
          <w:color w:val="auto"/>
          <w:shd w:val="clear" w:color="auto" w:fill="FFFFFF"/>
          <w:lang w:val="pt-PT"/>
        </w:rPr>
        <w:t xml:space="preserve">Ante o exposto, recebo a impugnação apresentada pela empresa </w:t>
      </w:r>
      <w:r w:rsidRPr="00F719DA">
        <w:rPr>
          <w:rFonts w:ascii="Cambria" w:hAnsi="Cambria"/>
          <w:b/>
          <w:bCs/>
          <w:color w:val="auto"/>
          <w:shd w:val="clear" w:color="auto" w:fill="FFFFFF"/>
          <w:lang w:val="pt-PT"/>
        </w:rPr>
        <w:t>E. TRIPODE INDÚSTRIA E COMÉRCIO DE MÓVEIS LTDA</w:t>
      </w:r>
      <w:r w:rsidRPr="00F719DA">
        <w:rPr>
          <w:rFonts w:ascii="Cambria" w:hAnsi="Cambria"/>
          <w:color w:val="auto"/>
          <w:shd w:val="clear" w:color="auto" w:fill="FFFFFF"/>
          <w:lang w:val="pt-PT"/>
        </w:rPr>
        <w:t xml:space="preserve"> e, no mérito, </w:t>
      </w:r>
      <w:r w:rsidRPr="00F719DA">
        <w:rPr>
          <w:rFonts w:ascii="Cambria" w:hAnsi="Cambria"/>
          <w:b/>
          <w:bCs/>
          <w:color w:val="auto"/>
          <w:shd w:val="clear" w:color="auto" w:fill="FFFFFF"/>
          <w:lang w:val="pt-PT"/>
        </w:rPr>
        <w:t>INDEFIRO</w:t>
      </w:r>
      <w:r w:rsidRPr="00F719DA">
        <w:rPr>
          <w:rFonts w:ascii="Cambria" w:hAnsi="Cambria"/>
          <w:color w:val="auto"/>
          <w:shd w:val="clear" w:color="auto" w:fill="FFFFFF"/>
          <w:lang w:val="pt-PT"/>
        </w:rPr>
        <w:t xml:space="preserve"> os argumentos expendidos, mantendo-se integralmente as disposições do Edital do Pregão Eletrônico nº 081/202</w:t>
      </w:r>
      <w:r>
        <w:rPr>
          <w:rFonts w:ascii="Cambria" w:hAnsi="Cambria"/>
          <w:color w:val="auto"/>
          <w:shd w:val="clear" w:color="auto" w:fill="FFFFFF"/>
          <w:lang w:val="pt-PT"/>
        </w:rPr>
        <w:t>5</w:t>
      </w:r>
      <w:r w:rsidRPr="00F719DA">
        <w:rPr>
          <w:rFonts w:ascii="Cambria" w:hAnsi="Cambria"/>
          <w:color w:val="auto"/>
          <w:shd w:val="clear" w:color="auto" w:fill="FFFFFF"/>
          <w:lang w:val="pt-PT"/>
        </w:rPr>
        <w:t>.</w:t>
      </w:r>
    </w:p>
    <w:p w14:paraId="4087E64F" w14:textId="77777777" w:rsidR="00F719DA" w:rsidRPr="00F719DA" w:rsidRDefault="00F719DA" w:rsidP="00F719D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F719DA">
        <w:rPr>
          <w:rFonts w:ascii="Cambria" w:hAnsi="Cambria"/>
          <w:color w:val="auto"/>
          <w:shd w:val="clear" w:color="auto" w:fill="FFFFFF"/>
          <w:lang w:val="pt-PT"/>
        </w:rPr>
        <w:t>Mantém-se íntegra a cláusula que estabelece o prazo de 03 (três) dias úteis para apresentação de amostra, por constituir medida excepcional de verificação de conformidade, compatível com a necessidade administrativa e com os princípios que regem as contratações públicas.</w:t>
      </w:r>
    </w:p>
    <w:p w14:paraId="389B3D7E" w14:textId="77777777" w:rsidR="00F719DA" w:rsidRPr="00F719DA" w:rsidRDefault="00F719DA" w:rsidP="00F719D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F719DA">
        <w:rPr>
          <w:rFonts w:ascii="Cambria" w:hAnsi="Cambria"/>
          <w:color w:val="auto"/>
          <w:shd w:val="clear" w:color="auto" w:fill="FFFFFF"/>
          <w:lang w:val="pt-PT"/>
        </w:rPr>
        <w:t>Determino o regular prosseguimento do certame, mantida a data prevista para realização da sessão pública.</w:t>
      </w:r>
    </w:p>
    <w:p w14:paraId="187E599D" w14:textId="77777777" w:rsidR="00F719DA" w:rsidRPr="008B4C90" w:rsidRDefault="00F719DA" w:rsidP="008B4C90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</w:p>
    <w:p w14:paraId="70BA19E5" w14:textId="77777777" w:rsidR="000D19BB" w:rsidRPr="000D19BB" w:rsidRDefault="000D19BB" w:rsidP="000D19BB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</w:p>
    <w:p w14:paraId="12EDC9C0" w14:textId="1F4A166E" w:rsidR="000D19BB" w:rsidRPr="000D19BB" w:rsidRDefault="000D19BB" w:rsidP="000D19BB">
      <w:pPr>
        <w:spacing w:before="240"/>
        <w:jc w:val="right"/>
        <w:rPr>
          <w:rFonts w:ascii="Cambria" w:hAnsi="Cambria" w:cs="Times New Roman"/>
          <w:b/>
          <w:i/>
        </w:rPr>
      </w:pPr>
      <w:r w:rsidRPr="000D19BB">
        <w:rPr>
          <w:rFonts w:ascii="Cambria" w:hAnsi="Cambria" w:cs="Times New Roman"/>
          <w:bCs/>
          <w:iCs/>
          <w:sz w:val="24"/>
          <w:szCs w:val="24"/>
        </w:rPr>
        <w:t xml:space="preserve">Jardim do Seridó/RN, </w:t>
      </w:r>
      <w:r w:rsidR="00F719DA">
        <w:rPr>
          <w:rFonts w:ascii="Cambria" w:hAnsi="Cambria" w:cs="Times New Roman"/>
          <w:bCs/>
          <w:iCs/>
          <w:sz w:val="24"/>
          <w:szCs w:val="24"/>
        </w:rPr>
        <w:t xml:space="preserve">27 </w:t>
      </w:r>
      <w:r w:rsidR="008C0217">
        <w:rPr>
          <w:rFonts w:ascii="Cambria" w:hAnsi="Cambria" w:cs="Times New Roman"/>
          <w:bCs/>
          <w:iCs/>
          <w:sz w:val="24"/>
          <w:szCs w:val="24"/>
        </w:rPr>
        <w:t>de fevereiro</w:t>
      </w:r>
      <w:r w:rsidR="005A3646">
        <w:rPr>
          <w:rFonts w:ascii="Cambria" w:hAnsi="Cambria" w:cs="Times New Roman"/>
          <w:bCs/>
          <w:iCs/>
          <w:sz w:val="24"/>
          <w:szCs w:val="24"/>
        </w:rPr>
        <w:t xml:space="preserve"> de 2026</w:t>
      </w:r>
      <w:r w:rsidRPr="000D19BB">
        <w:rPr>
          <w:rFonts w:ascii="Cambria" w:hAnsi="Cambria" w:cs="Times New Roman"/>
          <w:bCs/>
          <w:iCs/>
          <w:sz w:val="24"/>
          <w:szCs w:val="24"/>
        </w:rPr>
        <w:t>.</w:t>
      </w:r>
    </w:p>
    <w:p w14:paraId="476177A2" w14:textId="2C5892A1" w:rsidR="000D19BB" w:rsidRDefault="000D19BB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5CFDFD5C" w14:textId="77777777" w:rsidR="00245B03" w:rsidRPr="000D19BB" w:rsidRDefault="00245B03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42A31409" w14:textId="77777777" w:rsidR="000D19BB" w:rsidRPr="000D19BB" w:rsidRDefault="000D19BB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054470E5" w14:textId="77777777" w:rsidR="000D19BB" w:rsidRPr="000D19BB" w:rsidRDefault="000D19BB" w:rsidP="000D19BB">
      <w:pPr>
        <w:ind w:left="1843" w:right="1936" w:hanging="142"/>
        <w:jc w:val="center"/>
        <w:rPr>
          <w:rFonts w:ascii="Cambria" w:hAnsi="Cambria" w:cs="Times New Roman"/>
          <w:b/>
          <w:i/>
          <w:iCs/>
          <w:sz w:val="24"/>
          <w:szCs w:val="24"/>
        </w:rPr>
      </w:pPr>
    </w:p>
    <w:p w14:paraId="2DABB50B" w14:textId="77777777" w:rsidR="000D19BB" w:rsidRPr="000D19BB" w:rsidRDefault="000D19BB" w:rsidP="000D19BB">
      <w:pPr>
        <w:ind w:left="1843" w:right="1936" w:hanging="142"/>
        <w:jc w:val="center"/>
        <w:rPr>
          <w:rFonts w:ascii="Cambria" w:hAnsi="Cambria" w:cs="Times New Roman"/>
          <w:b/>
          <w:i/>
          <w:iCs/>
          <w:sz w:val="24"/>
          <w:szCs w:val="24"/>
        </w:rPr>
      </w:pPr>
      <w:r w:rsidRPr="000D19BB">
        <w:rPr>
          <w:rFonts w:ascii="Cambria" w:hAnsi="Cambria" w:cs="Times New Roman"/>
          <w:b/>
          <w:i/>
          <w:iCs/>
          <w:sz w:val="24"/>
          <w:szCs w:val="24"/>
        </w:rPr>
        <w:t>José Fernandes de Oliveira Neto</w:t>
      </w:r>
    </w:p>
    <w:p w14:paraId="2F4D3526" w14:textId="77777777" w:rsidR="000D19BB" w:rsidRPr="000D19BB" w:rsidRDefault="000D19BB" w:rsidP="000D19BB">
      <w:pPr>
        <w:ind w:left="1843" w:right="1936" w:hanging="142"/>
        <w:jc w:val="center"/>
        <w:rPr>
          <w:rFonts w:ascii="Cambria" w:hAnsi="Cambria" w:cs="Times New Roman"/>
          <w:bCs/>
          <w:i/>
          <w:iCs/>
          <w:sz w:val="24"/>
          <w:szCs w:val="24"/>
        </w:rPr>
      </w:pPr>
      <w:r w:rsidRPr="000D19BB">
        <w:rPr>
          <w:rFonts w:ascii="Cambria" w:hAnsi="Cambria" w:cs="Times New Roman"/>
          <w:bCs/>
          <w:i/>
          <w:iCs/>
          <w:sz w:val="24"/>
          <w:szCs w:val="24"/>
        </w:rPr>
        <w:t>Pregoeiro Municipal</w:t>
      </w:r>
    </w:p>
    <w:p w14:paraId="0EBF5F59" w14:textId="77777777" w:rsidR="000D19BB" w:rsidRPr="00A81304" w:rsidRDefault="000D19BB" w:rsidP="000D19BB">
      <w:pPr>
        <w:spacing w:line="360" w:lineRule="auto"/>
        <w:ind w:firstLine="709"/>
        <w:jc w:val="both"/>
        <w:rPr>
          <w:rFonts w:ascii="Cambria" w:hAnsi="Cambria"/>
          <w:sz w:val="24"/>
          <w:szCs w:val="24"/>
        </w:rPr>
      </w:pPr>
    </w:p>
    <w:sectPr w:rsidR="000D19BB" w:rsidRPr="00A8130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03E7E0" w14:textId="77777777" w:rsidR="0051757D" w:rsidRDefault="0051757D" w:rsidP="00510D4F">
      <w:pPr>
        <w:spacing w:after="0" w:line="240" w:lineRule="auto"/>
      </w:pPr>
      <w:r>
        <w:separator/>
      </w:r>
    </w:p>
  </w:endnote>
  <w:endnote w:type="continuationSeparator" w:id="0">
    <w:p w14:paraId="28BFCA08" w14:textId="77777777" w:rsidR="0051757D" w:rsidRDefault="0051757D" w:rsidP="00510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skervilleTM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866FE5" w14:textId="77777777" w:rsidR="0051757D" w:rsidRDefault="0051757D" w:rsidP="00510D4F">
      <w:pPr>
        <w:spacing w:after="0" w:line="240" w:lineRule="auto"/>
      </w:pPr>
      <w:r>
        <w:separator/>
      </w:r>
    </w:p>
  </w:footnote>
  <w:footnote w:type="continuationSeparator" w:id="0">
    <w:p w14:paraId="11702286" w14:textId="77777777" w:rsidR="0051757D" w:rsidRDefault="0051757D" w:rsidP="00510D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E1CFE4" w14:textId="77777777" w:rsidR="00510D4F" w:rsidRDefault="00510D4F" w:rsidP="00510D4F">
    <w:pPr>
      <w:pStyle w:val="Cabealho"/>
      <w:tabs>
        <w:tab w:val="right" w:pos="9072"/>
      </w:tabs>
      <w:ind w:right="-568"/>
      <w:jc w:val="center"/>
      <w:rPr>
        <w:rFonts w:ascii="BaskervilleTMed" w:hAnsi="BaskervilleTMed"/>
        <w:sz w:val="18"/>
        <w:szCs w:val="24"/>
      </w:rPr>
    </w:pPr>
    <w:r>
      <w:rPr>
        <w:rFonts w:ascii="BaskervilleTMed" w:hAnsi="BaskervilleTMed"/>
        <w:sz w:val="18"/>
        <w:szCs w:val="24"/>
      </w:rPr>
      <w:object w:dxaOrig="2565" w:dyaOrig="4694" w14:anchorId="1C9C3D2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pt;height:49.3pt" fillcolor="window">
          <v:imagedata r:id="rId1" o:title=""/>
        </v:shape>
        <o:OLEObject Type="Embed" ProgID="PBrush" ShapeID="_x0000_i1025" DrawAspect="Content" ObjectID="_1833620596" r:id="rId2"/>
      </w:object>
    </w:r>
  </w:p>
  <w:p w14:paraId="61F11A72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ESTADO DO RIO GRANDE DO NORTE</w:t>
    </w:r>
  </w:p>
  <w:p w14:paraId="79905F3A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PREFEITURA DO MUNICÍPIO DE JARDIM DO SERIDÓ</w:t>
    </w:r>
  </w:p>
  <w:p w14:paraId="32A22FC7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Centro de Múltiplo Uso “Prefeito Pedro Izidro de Medeiros”</w:t>
    </w:r>
  </w:p>
  <w:p w14:paraId="130FBAF0" w14:textId="77777777" w:rsidR="00510D4F" w:rsidRPr="00EE0B53" w:rsidRDefault="00510D4F" w:rsidP="00510D4F">
    <w:pPr>
      <w:pStyle w:val="Cabealho"/>
      <w:tabs>
        <w:tab w:val="left" w:pos="1275"/>
        <w:tab w:val="center" w:pos="4819"/>
        <w:tab w:val="right" w:pos="9072"/>
      </w:tabs>
      <w:ind w:right="-568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ab/>
    </w:r>
    <w:r w:rsidRPr="00EE0B53">
      <w:rPr>
        <w:rFonts w:ascii="Times New Roman" w:hAnsi="Times New Roman" w:cs="Times New Roman"/>
        <w:sz w:val="18"/>
        <w:szCs w:val="18"/>
      </w:rPr>
      <w:tab/>
      <w:t>Praça “Prefeito Manoel Paulino dos Santos Filho” nº 228, Centro, Jardim do Seridó/RN CEP: 59343-000</w:t>
    </w:r>
  </w:p>
  <w:p w14:paraId="5D835444" w14:textId="77777777" w:rsidR="00510D4F" w:rsidRPr="00EE0B53" w:rsidRDefault="00510D4F" w:rsidP="00510D4F">
    <w:pPr>
      <w:pStyle w:val="Cabealho"/>
      <w:tabs>
        <w:tab w:val="left" w:pos="1275"/>
        <w:tab w:val="center" w:pos="4819"/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Fones: (84) 3472.3900 – (84) 99655-1542</w:t>
    </w:r>
  </w:p>
  <w:p w14:paraId="12448EB2" w14:textId="77777777" w:rsidR="00510D4F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CNPJ 08.086.662/0001-38</w:t>
    </w:r>
  </w:p>
  <w:p w14:paraId="037D3D91" w14:textId="77777777" w:rsidR="00510D4F" w:rsidRDefault="00510D4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87E0B"/>
    <w:multiLevelType w:val="multilevel"/>
    <w:tmpl w:val="87262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08068C"/>
    <w:multiLevelType w:val="multilevel"/>
    <w:tmpl w:val="FF6EE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2" w15:restartNumberingAfterBreak="0">
    <w:nsid w:val="4A015ECE"/>
    <w:multiLevelType w:val="multilevel"/>
    <w:tmpl w:val="B89A9D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1857E87"/>
    <w:multiLevelType w:val="hybridMultilevel"/>
    <w:tmpl w:val="C0923024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E95465"/>
    <w:multiLevelType w:val="multilevel"/>
    <w:tmpl w:val="C27C8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D4F"/>
    <w:rsid w:val="000D19BB"/>
    <w:rsid w:val="000E0BAA"/>
    <w:rsid w:val="00230A18"/>
    <w:rsid w:val="00245B03"/>
    <w:rsid w:val="002655B1"/>
    <w:rsid w:val="004E002C"/>
    <w:rsid w:val="00510D4F"/>
    <w:rsid w:val="0051757D"/>
    <w:rsid w:val="00565787"/>
    <w:rsid w:val="005A3646"/>
    <w:rsid w:val="008B4C90"/>
    <w:rsid w:val="008C0217"/>
    <w:rsid w:val="00A11E03"/>
    <w:rsid w:val="00A41D3F"/>
    <w:rsid w:val="00A81304"/>
    <w:rsid w:val="00E77B9E"/>
    <w:rsid w:val="00F7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3E0A64E8"/>
  <w15:chartTrackingRefBased/>
  <w15:docId w15:val="{7E9E05CA-A9E7-470F-885A-53DFACEBE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6578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 Char,Char"/>
    <w:basedOn w:val="Normal"/>
    <w:link w:val="CabealhoChar"/>
    <w:unhideWhenUsed/>
    <w:rsid w:val="00510D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 Char Char,Char Char"/>
    <w:basedOn w:val="Fontepargpadro"/>
    <w:link w:val="Cabealho"/>
    <w:rsid w:val="00510D4F"/>
  </w:style>
  <w:style w:type="paragraph" w:styleId="Rodap">
    <w:name w:val="footer"/>
    <w:basedOn w:val="Normal"/>
    <w:link w:val="RodapChar"/>
    <w:uiPriority w:val="99"/>
    <w:unhideWhenUsed/>
    <w:rsid w:val="00510D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10D4F"/>
  </w:style>
  <w:style w:type="paragraph" w:styleId="PargrafodaLista">
    <w:name w:val="List Paragraph"/>
    <w:basedOn w:val="Normal"/>
    <w:uiPriority w:val="34"/>
    <w:qFormat/>
    <w:rsid w:val="00510D4F"/>
    <w:pPr>
      <w:ind w:left="720"/>
      <w:contextualSpacing/>
    </w:pPr>
  </w:style>
  <w:style w:type="character" w:customStyle="1" w:styleId="Ttulo4Char">
    <w:name w:val="Título 4 Char"/>
    <w:basedOn w:val="Fontepargpadro"/>
    <w:link w:val="Ttulo4"/>
    <w:uiPriority w:val="9"/>
    <w:semiHidden/>
    <w:rsid w:val="0056578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565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65787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0D19B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D19BB"/>
    <w:rPr>
      <w:rFonts w:ascii="Arial" w:eastAsia="Arial" w:hAnsi="Arial" w:cs="Arial"/>
      <w:sz w:val="24"/>
      <w:szCs w:val="24"/>
      <w:lang w:val="pt-PT"/>
    </w:rPr>
  </w:style>
  <w:style w:type="paragraph" w:customStyle="1" w:styleId="Default">
    <w:name w:val="Default"/>
    <w:rsid w:val="000D19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48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637</Words>
  <Characters>3442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2</cp:revision>
  <dcterms:created xsi:type="dcterms:W3CDTF">2026-02-26T17:16:00Z</dcterms:created>
  <dcterms:modified xsi:type="dcterms:W3CDTF">2026-02-26T17:16:00Z</dcterms:modified>
</cp:coreProperties>
</file>