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168C39" w14:textId="13AE5EA6" w:rsidR="00510D4F" w:rsidRPr="00E93B99" w:rsidRDefault="00510D4F" w:rsidP="00510D4F">
      <w:pPr>
        <w:spacing w:line="360" w:lineRule="auto"/>
        <w:jc w:val="center"/>
        <w:rPr>
          <w:rFonts w:ascii="Cambria" w:hAnsi="Cambria"/>
          <w:b/>
          <w:bCs/>
          <w:sz w:val="32"/>
          <w:szCs w:val="32"/>
          <w:u w:val="single"/>
        </w:rPr>
      </w:pPr>
      <w:r w:rsidRPr="00E93B99">
        <w:rPr>
          <w:rFonts w:ascii="Cambria" w:hAnsi="Cambria"/>
          <w:b/>
          <w:bCs/>
          <w:sz w:val="32"/>
          <w:szCs w:val="32"/>
          <w:u w:val="single"/>
        </w:rPr>
        <w:t>RESPOSTA À IMPUGNAÇÃO DO EDITAL DE LICITAÇÃO PREGÃO ELETRÔNICO Nº 0</w:t>
      </w:r>
      <w:r w:rsidR="00AD13E2" w:rsidRPr="00E93B99">
        <w:rPr>
          <w:rFonts w:ascii="Cambria" w:hAnsi="Cambria"/>
          <w:b/>
          <w:bCs/>
          <w:sz w:val="32"/>
          <w:szCs w:val="32"/>
          <w:u w:val="single"/>
        </w:rPr>
        <w:t>75</w:t>
      </w:r>
      <w:r w:rsidRPr="00E93B99">
        <w:rPr>
          <w:rFonts w:ascii="Cambria" w:hAnsi="Cambria"/>
          <w:b/>
          <w:bCs/>
          <w:sz w:val="32"/>
          <w:szCs w:val="32"/>
          <w:u w:val="single"/>
        </w:rPr>
        <w:t>/2025</w:t>
      </w:r>
    </w:p>
    <w:p w14:paraId="7C1A94D9" w14:textId="754D2E40" w:rsidR="00510D4F" w:rsidRPr="00E93B99" w:rsidRDefault="00510D4F" w:rsidP="00510D4F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E93B99">
        <w:rPr>
          <w:rFonts w:ascii="Cambria" w:hAnsi="Cambria"/>
          <w:b/>
          <w:bCs/>
          <w:sz w:val="24"/>
          <w:szCs w:val="24"/>
        </w:rPr>
        <w:t xml:space="preserve">OBJETO: </w:t>
      </w:r>
      <w:r w:rsidR="00AD13E2" w:rsidRPr="00E93B99">
        <w:rPr>
          <w:rFonts w:ascii="Cambria" w:hAnsi="Cambria"/>
          <w:sz w:val="24"/>
          <w:szCs w:val="24"/>
        </w:rPr>
        <w:t>Contratação de serviço de manutenção preventiva e corretiva de equipamentos odontológicos, com ou sem reposição de peças, para suprir as necessidades da Secretaria Municipal de Saúde de Jardim do Seridó/RN</w:t>
      </w:r>
      <w:r w:rsidRPr="00E93B99">
        <w:rPr>
          <w:rFonts w:ascii="Cambria" w:hAnsi="Cambria"/>
          <w:sz w:val="24"/>
          <w:szCs w:val="24"/>
        </w:rPr>
        <w:t>.</w:t>
      </w:r>
    </w:p>
    <w:p w14:paraId="587FC184" w14:textId="77777777" w:rsidR="00230A18" w:rsidRPr="00E93B99" w:rsidRDefault="00230A18" w:rsidP="00510D4F">
      <w:pPr>
        <w:spacing w:line="360" w:lineRule="auto"/>
        <w:jc w:val="both"/>
        <w:rPr>
          <w:rFonts w:ascii="Cambria" w:hAnsi="Cambria"/>
          <w:sz w:val="24"/>
          <w:szCs w:val="24"/>
        </w:rPr>
      </w:pPr>
    </w:p>
    <w:p w14:paraId="1AD6E1FF" w14:textId="53E7E736" w:rsidR="00230A18" w:rsidRPr="00E93B99" w:rsidRDefault="00510D4F" w:rsidP="00230A18">
      <w:pPr>
        <w:pStyle w:val="PargrafodaLista"/>
        <w:numPr>
          <w:ilvl w:val="0"/>
          <w:numId w:val="1"/>
        </w:numPr>
        <w:spacing w:line="360" w:lineRule="auto"/>
        <w:ind w:left="0" w:firstLine="0"/>
        <w:jc w:val="both"/>
        <w:rPr>
          <w:rFonts w:ascii="Cambria" w:hAnsi="Cambria"/>
          <w:b/>
          <w:bCs/>
          <w:sz w:val="24"/>
          <w:szCs w:val="24"/>
        </w:rPr>
      </w:pPr>
      <w:r w:rsidRPr="00E93B99">
        <w:rPr>
          <w:rFonts w:ascii="Cambria" w:hAnsi="Cambria"/>
          <w:b/>
          <w:bCs/>
          <w:sz w:val="24"/>
          <w:szCs w:val="24"/>
        </w:rPr>
        <w:t>DA TEMPESTIVIDADE</w:t>
      </w:r>
    </w:p>
    <w:p w14:paraId="32136C22" w14:textId="6CF5805C" w:rsidR="00230A18" w:rsidRPr="00E93B99" w:rsidRDefault="00230A18" w:rsidP="00230A18">
      <w:pPr>
        <w:spacing w:line="360" w:lineRule="auto"/>
        <w:ind w:firstLine="708"/>
        <w:jc w:val="both"/>
        <w:rPr>
          <w:rFonts w:ascii="Cambria" w:hAnsi="Cambria"/>
          <w:sz w:val="24"/>
          <w:szCs w:val="24"/>
        </w:rPr>
      </w:pPr>
      <w:r w:rsidRPr="00E93B99">
        <w:rPr>
          <w:rFonts w:ascii="Cambria" w:hAnsi="Cambria"/>
          <w:sz w:val="24"/>
          <w:szCs w:val="24"/>
        </w:rPr>
        <w:t xml:space="preserve">Trata-se da análise da impugnação interposta pela empresa </w:t>
      </w:r>
      <w:r w:rsidR="00AD13E2" w:rsidRPr="00E93B99">
        <w:rPr>
          <w:rFonts w:ascii="Cambria" w:hAnsi="Cambria"/>
          <w:b/>
          <w:bCs/>
          <w:sz w:val="24"/>
          <w:szCs w:val="24"/>
        </w:rPr>
        <w:t>ROBENILDO MIRANDA DOS SANTOS</w:t>
      </w:r>
      <w:r w:rsidRPr="00E93B99">
        <w:rPr>
          <w:rFonts w:ascii="Cambria" w:hAnsi="Cambria"/>
          <w:sz w:val="24"/>
          <w:szCs w:val="24"/>
        </w:rPr>
        <w:t xml:space="preserve">, empresa jurídica de direito privado, inscrita no CNPJ sob o n° </w:t>
      </w:r>
      <w:r w:rsidR="00AD13E2" w:rsidRPr="00E93B99">
        <w:rPr>
          <w:rFonts w:ascii="Cambria" w:hAnsi="Cambria"/>
          <w:b/>
          <w:bCs/>
          <w:sz w:val="24"/>
          <w:szCs w:val="24"/>
        </w:rPr>
        <w:t>43.050.880/0001-13</w:t>
      </w:r>
      <w:r w:rsidRPr="00E93B99">
        <w:rPr>
          <w:rFonts w:ascii="Cambria" w:hAnsi="Cambria"/>
          <w:sz w:val="24"/>
          <w:szCs w:val="24"/>
        </w:rPr>
        <w:t xml:space="preserve">, localizada </w:t>
      </w:r>
      <w:r w:rsidR="00AD13E2" w:rsidRPr="00E93B99">
        <w:rPr>
          <w:rFonts w:ascii="Cambria" w:hAnsi="Cambria"/>
          <w:sz w:val="24"/>
          <w:szCs w:val="24"/>
        </w:rPr>
        <w:t>Rua Ageu de Castro, 299 – Ivan Bezerra Parelhas RN</w:t>
      </w:r>
      <w:r w:rsidRPr="00E93B99">
        <w:rPr>
          <w:rFonts w:ascii="Cambria" w:hAnsi="Cambria"/>
          <w:sz w:val="24"/>
          <w:szCs w:val="24"/>
        </w:rPr>
        <w:t xml:space="preserve">. </w:t>
      </w:r>
    </w:p>
    <w:p w14:paraId="67E3BFCD" w14:textId="5471F010" w:rsidR="00230A18" w:rsidRPr="00E93B99" w:rsidRDefault="00230A18" w:rsidP="00230A18">
      <w:pPr>
        <w:spacing w:line="360" w:lineRule="auto"/>
        <w:ind w:firstLine="708"/>
        <w:jc w:val="both"/>
        <w:rPr>
          <w:rFonts w:ascii="Cambria" w:hAnsi="Cambria"/>
          <w:sz w:val="24"/>
          <w:szCs w:val="24"/>
        </w:rPr>
      </w:pPr>
      <w:r w:rsidRPr="00E93B99">
        <w:rPr>
          <w:rFonts w:ascii="Cambria" w:hAnsi="Cambria"/>
          <w:sz w:val="24"/>
          <w:szCs w:val="24"/>
        </w:rPr>
        <w:t>De acordo com o art. 164, parágrafo único, da Lei nº 14.133/2021, a impugnação ao edital deve ser protocolada até 3 (três) dias úteis antes da data de abertura do certame.</w:t>
      </w:r>
    </w:p>
    <w:p w14:paraId="231396D0" w14:textId="5A4E9614" w:rsidR="00565787" w:rsidRPr="00E93B99" w:rsidRDefault="00230A18" w:rsidP="00565787">
      <w:pPr>
        <w:pStyle w:val="PargrafodaLista"/>
        <w:spacing w:line="360" w:lineRule="auto"/>
        <w:ind w:left="0" w:firstLine="708"/>
        <w:jc w:val="both"/>
        <w:rPr>
          <w:rFonts w:ascii="Cambria" w:hAnsi="Cambria"/>
          <w:sz w:val="24"/>
          <w:szCs w:val="24"/>
        </w:rPr>
      </w:pPr>
      <w:r w:rsidRPr="00E93B99">
        <w:rPr>
          <w:rFonts w:ascii="Cambria" w:hAnsi="Cambria"/>
          <w:sz w:val="24"/>
          <w:szCs w:val="24"/>
        </w:rPr>
        <w:t>Considerando que a sessão pública est</w:t>
      </w:r>
      <w:r w:rsidR="00AD13E2" w:rsidRPr="00E93B99">
        <w:rPr>
          <w:rFonts w:ascii="Cambria" w:hAnsi="Cambria"/>
          <w:sz w:val="24"/>
          <w:szCs w:val="24"/>
        </w:rPr>
        <w:t>ava</w:t>
      </w:r>
      <w:r w:rsidRPr="00E93B99">
        <w:rPr>
          <w:rFonts w:ascii="Cambria" w:hAnsi="Cambria"/>
          <w:sz w:val="24"/>
          <w:szCs w:val="24"/>
        </w:rPr>
        <w:t xml:space="preserve"> prevista para o dia </w:t>
      </w:r>
      <w:r w:rsidR="00AD13E2" w:rsidRPr="00E93B99">
        <w:rPr>
          <w:rFonts w:ascii="Cambria" w:hAnsi="Cambria"/>
          <w:sz w:val="24"/>
          <w:szCs w:val="24"/>
        </w:rPr>
        <w:t>15</w:t>
      </w:r>
      <w:r w:rsidRPr="00E93B99">
        <w:rPr>
          <w:rFonts w:ascii="Cambria" w:hAnsi="Cambria"/>
          <w:sz w:val="24"/>
          <w:szCs w:val="24"/>
        </w:rPr>
        <w:t>/1</w:t>
      </w:r>
      <w:r w:rsidR="00AD13E2" w:rsidRPr="00E93B99">
        <w:rPr>
          <w:rFonts w:ascii="Cambria" w:hAnsi="Cambria"/>
          <w:sz w:val="24"/>
          <w:szCs w:val="24"/>
        </w:rPr>
        <w:t>2</w:t>
      </w:r>
      <w:r w:rsidRPr="00E93B99">
        <w:rPr>
          <w:rFonts w:ascii="Cambria" w:hAnsi="Cambria"/>
          <w:sz w:val="24"/>
          <w:szCs w:val="24"/>
        </w:rPr>
        <w:t xml:space="preserve">/2025 e que a impugnação foi protocolada em </w:t>
      </w:r>
      <w:r w:rsidR="00AD13E2" w:rsidRPr="00E93B99">
        <w:rPr>
          <w:rFonts w:ascii="Cambria" w:hAnsi="Cambria"/>
          <w:sz w:val="24"/>
          <w:szCs w:val="24"/>
        </w:rPr>
        <w:t>06</w:t>
      </w:r>
      <w:r w:rsidRPr="00E93B99">
        <w:rPr>
          <w:rFonts w:ascii="Cambria" w:hAnsi="Cambria"/>
          <w:sz w:val="24"/>
          <w:szCs w:val="24"/>
        </w:rPr>
        <w:t>/1</w:t>
      </w:r>
      <w:r w:rsidR="00AD13E2" w:rsidRPr="00E93B99">
        <w:rPr>
          <w:rFonts w:ascii="Cambria" w:hAnsi="Cambria"/>
          <w:sz w:val="24"/>
          <w:szCs w:val="24"/>
        </w:rPr>
        <w:t>2</w:t>
      </w:r>
      <w:r w:rsidRPr="00E93B99">
        <w:rPr>
          <w:rFonts w:ascii="Cambria" w:hAnsi="Cambria"/>
          <w:sz w:val="24"/>
          <w:szCs w:val="24"/>
        </w:rPr>
        <w:t>/2025, verifica-se o cumprimento do prazo legal, motivo pelo qual se reconhece a tempestividade da impugnação.</w:t>
      </w:r>
    </w:p>
    <w:p w14:paraId="7BB7271C" w14:textId="60ACA193" w:rsidR="00AD13E2" w:rsidRPr="00E93B99" w:rsidRDefault="00AD13E2" w:rsidP="00AD13E2">
      <w:pPr>
        <w:pStyle w:val="PargrafodaLista"/>
        <w:spacing w:line="360" w:lineRule="auto"/>
        <w:ind w:left="0" w:firstLine="708"/>
        <w:jc w:val="both"/>
        <w:rPr>
          <w:rFonts w:ascii="Cambria" w:hAnsi="Cambria"/>
          <w:sz w:val="24"/>
          <w:szCs w:val="24"/>
        </w:rPr>
      </w:pPr>
      <w:r w:rsidRPr="00E93B99">
        <w:rPr>
          <w:rFonts w:ascii="Cambria" w:hAnsi="Cambria"/>
          <w:sz w:val="24"/>
          <w:szCs w:val="24"/>
        </w:rPr>
        <w:t xml:space="preserve">Ressalta-se que, a sessão previamente marcada foi suspensa para análise minuciosa dos pedidos de impugnação. </w:t>
      </w:r>
    </w:p>
    <w:p w14:paraId="70FF71EF" w14:textId="12C2CA2C" w:rsidR="00565787" w:rsidRPr="00E93B99" w:rsidRDefault="00565787" w:rsidP="00230A18">
      <w:pPr>
        <w:pStyle w:val="PargrafodaLista"/>
        <w:spacing w:line="360" w:lineRule="auto"/>
        <w:ind w:left="0" w:firstLine="708"/>
        <w:jc w:val="both"/>
        <w:rPr>
          <w:rFonts w:ascii="Cambria" w:hAnsi="Cambria"/>
          <w:sz w:val="24"/>
          <w:szCs w:val="24"/>
        </w:rPr>
      </w:pPr>
    </w:p>
    <w:p w14:paraId="121B2E17" w14:textId="5D8DA0C4" w:rsidR="00565787" w:rsidRPr="00E93B99" w:rsidRDefault="00565787" w:rsidP="00245B03">
      <w:pPr>
        <w:pStyle w:val="PargrafodaLista"/>
        <w:numPr>
          <w:ilvl w:val="0"/>
          <w:numId w:val="1"/>
        </w:numPr>
        <w:spacing w:line="360" w:lineRule="auto"/>
        <w:ind w:left="0" w:firstLine="0"/>
        <w:jc w:val="both"/>
        <w:rPr>
          <w:rFonts w:ascii="Cambria" w:hAnsi="Cambria"/>
          <w:b/>
          <w:bCs/>
          <w:sz w:val="24"/>
          <w:szCs w:val="24"/>
        </w:rPr>
      </w:pPr>
      <w:r w:rsidRPr="00E93B99">
        <w:rPr>
          <w:rFonts w:ascii="Cambria" w:hAnsi="Cambria"/>
          <w:b/>
          <w:bCs/>
          <w:sz w:val="24"/>
          <w:szCs w:val="24"/>
        </w:rPr>
        <w:t>SÍNTESE DAS TESES E ARGUMENTOS DA IMPUGNANTE</w:t>
      </w:r>
    </w:p>
    <w:p w14:paraId="00F13EA3" w14:textId="77777777" w:rsidR="00AD13E2" w:rsidRPr="00E93B99" w:rsidRDefault="00AD13E2" w:rsidP="00AD13E2">
      <w:pPr>
        <w:pStyle w:val="NormalWeb"/>
        <w:spacing w:line="360" w:lineRule="auto"/>
        <w:rPr>
          <w:rFonts w:ascii="Cambria" w:hAnsi="Cambria"/>
        </w:rPr>
      </w:pPr>
      <w:r w:rsidRPr="00E93B99">
        <w:rPr>
          <w:rFonts w:ascii="Cambria" w:hAnsi="Cambria"/>
        </w:rPr>
        <w:t>A impugnante sustenta, em síntese:</w:t>
      </w:r>
    </w:p>
    <w:p w14:paraId="41FCA1D2" w14:textId="77777777" w:rsidR="00AD13E2" w:rsidRPr="00E93B99" w:rsidRDefault="00AD13E2" w:rsidP="00AD13E2">
      <w:pPr>
        <w:pStyle w:val="PargrafodaLista"/>
        <w:numPr>
          <w:ilvl w:val="0"/>
          <w:numId w:val="6"/>
        </w:numPr>
        <w:spacing w:line="360" w:lineRule="auto"/>
        <w:ind w:left="567" w:firstLine="0"/>
        <w:jc w:val="both"/>
        <w:rPr>
          <w:rFonts w:ascii="Cambria" w:hAnsi="Cambria"/>
          <w:sz w:val="24"/>
          <w:szCs w:val="24"/>
        </w:rPr>
      </w:pPr>
      <w:r w:rsidRPr="00E93B99">
        <w:rPr>
          <w:rFonts w:ascii="Cambria" w:hAnsi="Cambria"/>
          <w:sz w:val="24"/>
          <w:szCs w:val="24"/>
        </w:rPr>
        <w:t>Ilegalidade da exigência de Autorização de Funcionamento da ANVISA, por inexistir previsão legal para empresas que realizam exclusivamente manutenção de equipamentos odontológicos;</w:t>
      </w:r>
    </w:p>
    <w:p w14:paraId="13D8CE62" w14:textId="77777777" w:rsidR="00AD13E2" w:rsidRPr="00E93B99" w:rsidRDefault="00AD13E2" w:rsidP="00AD13E2">
      <w:pPr>
        <w:pStyle w:val="PargrafodaLista"/>
        <w:numPr>
          <w:ilvl w:val="0"/>
          <w:numId w:val="6"/>
        </w:numPr>
        <w:spacing w:line="360" w:lineRule="auto"/>
        <w:ind w:left="567" w:firstLine="0"/>
        <w:jc w:val="both"/>
        <w:rPr>
          <w:rFonts w:ascii="Cambria" w:hAnsi="Cambria"/>
          <w:sz w:val="24"/>
          <w:szCs w:val="24"/>
        </w:rPr>
      </w:pPr>
      <w:r w:rsidRPr="00E93B99">
        <w:rPr>
          <w:rFonts w:ascii="Cambria" w:hAnsi="Cambria"/>
          <w:sz w:val="24"/>
          <w:szCs w:val="24"/>
        </w:rPr>
        <w:lastRenderedPageBreak/>
        <w:t xml:space="preserve">Indevida exigência de Alvará Sanitário da SUVISA, pois a atividade não se enquadra nos </w:t>
      </w:r>
      <w:proofErr w:type="spellStart"/>
      <w:r w:rsidRPr="00E93B99">
        <w:rPr>
          <w:rFonts w:ascii="Cambria" w:hAnsi="Cambria"/>
          <w:sz w:val="24"/>
          <w:szCs w:val="24"/>
        </w:rPr>
        <w:t>CNAEs</w:t>
      </w:r>
      <w:proofErr w:type="spellEnd"/>
      <w:r w:rsidRPr="00E93B99">
        <w:rPr>
          <w:rFonts w:ascii="Cambria" w:hAnsi="Cambria"/>
          <w:sz w:val="24"/>
          <w:szCs w:val="24"/>
        </w:rPr>
        <w:t xml:space="preserve"> sujeitos à vigilância sanitária estadual, conforme Decreto Estadual nº 26.721/2017;</w:t>
      </w:r>
    </w:p>
    <w:p w14:paraId="7F72436A" w14:textId="77777777" w:rsidR="00AD13E2" w:rsidRPr="00E93B99" w:rsidRDefault="00AD13E2" w:rsidP="00AD13E2">
      <w:pPr>
        <w:pStyle w:val="PargrafodaLista"/>
        <w:numPr>
          <w:ilvl w:val="0"/>
          <w:numId w:val="6"/>
        </w:numPr>
        <w:spacing w:line="360" w:lineRule="auto"/>
        <w:ind w:left="567" w:firstLine="0"/>
        <w:jc w:val="both"/>
        <w:rPr>
          <w:rFonts w:ascii="Cambria" w:hAnsi="Cambria"/>
          <w:sz w:val="24"/>
          <w:szCs w:val="24"/>
        </w:rPr>
      </w:pPr>
      <w:r w:rsidRPr="00E93B99">
        <w:rPr>
          <w:rFonts w:ascii="Cambria" w:hAnsi="Cambria"/>
          <w:sz w:val="24"/>
          <w:szCs w:val="24"/>
        </w:rPr>
        <w:t>Omissão do edital quanto à qualificação técnica, notadamente:</w:t>
      </w:r>
    </w:p>
    <w:p w14:paraId="5D913417" w14:textId="77777777" w:rsidR="00AD13E2" w:rsidRPr="00E93B99" w:rsidRDefault="00AD13E2" w:rsidP="00AD13E2">
      <w:pPr>
        <w:pStyle w:val="NormalWeb"/>
        <w:numPr>
          <w:ilvl w:val="0"/>
          <w:numId w:val="5"/>
        </w:numPr>
        <w:spacing w:line="360" w:lineRule="auto"/>
        <w:ind w:left="1134" w:firstLine="0"/>
        <w:jc w:val="both"/>
        <w:rPr>
          <w:rFonts w:ascii="Cambria" w:hAnsi="Cambria"/>
        </w:rPr>
      </w:pPr>
      <w:r w:rsidRPr="00E93B99">
        <w:rPr>
          <w:rFonts w:ascii="Cambria" w:hAnsi="Cambria"/>
        </w:rPr>
        <w:t>ausência de exigência de responsável técnico habilitado;</w:t>
      </w:r>
    </w:p>
    <w:p w14:paraId="2688367E" w14:textId="77777777" w:rsidR="00AD13E2" w:rsidRPr="00E93B99" w:rsidRDefault="00AD13E2" w:rsidP="00AD13E2">
      <w:pPr>
        <w:pStyle w:val="NormalWeb"/>
        <w:numPr>
          <w:ilvl w:val="0"/>
          <w:numId w:val="5"/>
        </w:numPr>
        <w:spacing w:line="360" w:lineRule="auto"/>
        <w:ind w:left="1134" w:firstLine="0"/>
        <w:jc w:val="both"/>
        <w:rPr>
          <w:rFonts w:ascii="Cambria" w:hAnsi="Cambria"/>
        </w:rPr>
      </w:pPr>
      <w:r w:rsidRPr="00E93B99">
        <w:rPr>
          <w:rFonts w:ascii="Cambria" w:hAnsi="Cambria"/>
        </w:rPr>
        <w:t>ausência de registro da empresa e do responsável técnico no CREA ou CFT;</w:t>
      </w:r>
    </w:p>
    <w:p w14:paraId="529F34F9" w14:textId="77777777" w:rsidR="00AD13E2" w:rsidRPr="00E93B99" w:rsidRDefault="00AD13E2" w:rsidP="00AD13E2">
      <w:pPr>
        <w:pStyle w:val="NormalWeb"/>
        <w:numPr>
          <w:ilvl w:val="0"/>
          <w:numId w:val="5"/>
        </w:numPr>
        <w:spacing w:line="360" w:lineRule="auto"/>
        <w:ind w:left="1134" w:firstLine="0"/>
        <w:jc w:val="both"/>
        <w:rPr>
          <w:rFonts w:ascii="Cambria" w:hAnsi="Cambria"/>
        </w:rPr>
      </w:pPr>
      <w:r w:rsidRPr="00E93B99">
        <w:rPr>
          <w:rFonts w:ascii="Cambria" w:hAnsi="Cambria"/>
        </w:rPr>
        <w:t>ausência de comprovação de capacidade técnico-profissional e técnico-operacional (acervo técnico);</w:t>
      </w:r>
    </w:p>
    <w:p w14:paraId="40C00CF3" w14:textId="77777777" w:rsidR="00AD13E2" w:rsidRPr="00E93B99" w:rsidRDefault="00AD13E2" w:rsidP="00AD13E2">
      <w:pPr>
        <w:pStyle w:val="PargrafodaLista"/>
        <w:numPr>
          <w:ilvl w:val="0"/>
          <w:numId w:val="6"/>
        </w:numPr>
        <w:spacing w:line="360" w:lineRule="auto"/>
        <w:ind w:left="567" w:firstLine="0"/>
        <w:jc w:val="both"/>
        <w:rPr>
          <w:rFonts w:ascii="Cambria" w:hAnsi="Cambria"/>
          <w:sz w:val="24"/>
          <w:szCs w:val="24"/>
        </w:rPr>
      </w:pPr>
      <w:r w:rsidRPr="00E93B99">
        <w:rPr>
          <w:rFonts w:ascii="Cambria" w:hAnsi="Cambria"/>
          <w:sz w:val="24"/>
          <w:szCs w:val="24"/>
        </w:rPr>
        <w:t>Omissão quanto à exigência de relação dos compromissos assumidos, prevista no art. 69, §3º, da Lei nº 14.133/2021.</w:t>
      </w:r>
    </w:p>
    <w:p w14:paraId="106D3830" w14:textId="77777777" w:rsidR="00565787" w:rsidRPr="00E93B99" w:rsidRDefault="00565787" w:rsidP="00565787">
      <w:pPr>
        <w:pStyle w:val="PargrafodaLista"/>
        <w:spacing w:line="360" w:lineRule="auto"/>
        <w:ind w:left="0" w:firstLine="708"/>
        <w:jc w:val="both"/>
        <w:rPr>
          <w:rFonts w:ascii="Cambria" w:hAnsi="Cambria"/>
          <w:sz w:val="24"/>
          <w:szCs w:val="24"/>
        </w:rPr>
      </w:pPr>
    </w:p>
    <w:p w14:paraId="48FD0A86" w14:textId="1BB948CD" w:rsidR="00565787" w:rsidRPr="00E93B99" w:rsidRDefault="00565787" w:rsidP="00245B03">
      <w:pPr>
        <w:pStyle w:val="PargrafodaLista"/>
        <w:numPr>
          <w:ilvl w:val="0"/>
          <w:numId w:val="1"/>
        </w:numPr>
        <w:spacing w:before="240" w:line="360" w:lineRule="auto"/>
        <w:ind w:left="0" w:firstLine="0"/>
        <w:jc w:val="both"/>
        <w:rPr>
          <w:rFonts w:ascii="Cambria" w:hAnsi="Cambria"/>
          <w:sz w:val="24"/>
          <w:szCs w:val="24"/>
        </w:rPr>
      </w:pPr>
      <w:r w:rsidRPr="00E93B99">
        <w:rPr>
          <w:rFonts w:ascii="Cambria" w:hAnsi="Cambria"/>
          <w:b/>
          <w:bCs/>
          <w:sz w:val="24"/>
          <w:szCs w:val="24"/>
        </w:rPr>
        <w:t>DO MÉRITO</w:t>
      </w:r>
    </w:p>
    <w:p w14:paraId="53D9168D" w14:textId="44933603" w:rsidR="00AD13E2" w:rsidRPr="00E93B99" w:rsidRDefault="00AD13E2" w:rsidP="00AD13E2">
      <w:pPr>
        <w:spacing w:line="360" w:lineRule="auto"/>
        <w:ind w:firstLine="709"/>
        <w:jc w:val="both"/>
        <w:rPr>
          <w:rFonts w:ascii="Cambria" w:hAnsi="Cambria"/>
          <w:sz w:val="24"/>
          <w:szCs w:val="24"/>
        </w:rPr>
      </w:pPr>
      <w:r w:rsidRPr="00E93B99">
        <w:rPr>
          <w:rFonts w:ascii="Cambria" w:hAnsi="Cambria"/>
          <w:sz w:val="24"/>
          <w:szCs w:val="24"/>
        </w:rPr>
        <w:t>As alegações apresentadas na impugnação dizem respeito a exigências de habilitação técnica previstas no edital, as quais decorrem diretamente do Termo de Referência, elaborado na fase de planejamento da contratação, sob responsabilidade da unidade requisitante, conforme estabelece o art. 18 da Lei nº 14.133/2021.</w:t>
      </w:r>
    </w:p>
    <w:p w14:paraId="0833F726" w14:textId="68D913D9" w:rsidR="00AD13E2" w:rsidRPr="00E93B99" w:rsidRDefault="00AD13E2" w:rsidP="00E93B99">
      <w:pPr>
        <w:spacing w:line="360" w:lineRule="auto"/>
        <w:ind w:firstLine="709"/>
        <w:jc w:val="both"/>
        <w:rPr>
          <w:rFonts w:ascii="Cambria" w:hAnsi="Cambria"/>
          <w:sz w:val="24"/>
          <w:szCs w:val="24"/>
        </w:rPr>
      </w:pPr>
      <w:r w:rsidRPr="00E93B99">
        <w:rPr>
          <w:rFonts w:ascii="Cambria" w:hAnsi="Cambria"/>
          <w:sz w:val="24"/>
          <w:szCs w:val="24"/>
        </w:rPr>
        <w:t>Considerando o caráter estritamente técnico das exigências questionadas</w:t>
      </w:r>
      <w:r w:rsidR="00E93B99" w:rsidRPr="00E93B99">
        <w:rPr>
          <w:rFonts w:ascii="Cambria" w:hAnsi="Cambria"/>
          <w:sz w:val="24"/>
          <w:szCs w:val="24"/>
        </w:rPr>
        <w:t xml:space="preserve">, </w:t>
      </w:r>
      <w:r w:rsidRPr="00E93B99">
        <w:rPr>
          <w:rFonts w:ascii="Cambria" w:hAnsi="Cambria"/>
          <w:sz w:val="24"/>
          <w:szCs w:val="24"/>
        </w:rPr>
        <w:t>especialmente aquelas relacionadas à necessidade de licenças sanitárias e à definição de qualificação técnico-profissional para execução dos serviços, o Pregoeiro encaminhou a impugnação à Secretaria Municipal de Saúde, unidade demandante do objeto, para análise e manifestação da autoridade competente, em observância aos princípios da segregação de funções, da especialidade técnica e da segurança jurídica.</w:t>
      </w:r>
    </w:p>
    <w:p w14:paraId="44704A5F" w14:textId="2758E446" w:rsidR="00AD13E2" w:rsidRPr="00E93B99" w:rsidRDefault="00AD13E2" w:rsidP="00E93B99">
      <w:pPr>
        <w:spacing w:line="360" w:lineRule="auto"/>
        <w:ind w:firstLine="709"/>
        <w:jc w:val="both"/>
        <w:rPr>
          <w:rFonts w:ascii="Cambria" w:hAnsi="Cambria"/>
          <w:sz w:val="24"/>
          <w:szCs w:val="24"/>
        </w:rPr>
      </w:pPr>
      <w:r w:rsidRPr="00E93B99">
        <w:rPr>
          <w:rFonts w:ascii="Cambria" w:hAnsi="Cambria"/>
          <w:sz w:val="24"/>
          <w:szCs w:val="24"/>
        </w:rPr>
        <w:lastRenderedPageBreak/>
        <w:t>Em resposta, a Secretaria Municipal de Saúde, por meio do Ofício nº 832/2025/SMS/PMJS, após análise técnica da impugnação, julgou-a PROCEDENTE, consignando, em síntese, que:</w:t>
      </w:r>
    </w:p>
    <w:p w14:paraId="22E1E4A6" w14:textId="77777777" w:rsidR="00AD13E2" w:rsidRPr="00E93B99" w:rsidRDefault="00AD13E2" w:rsidP="00E93B99">
      <w:pPr>
        <w:pStyle w:val="PargrafodaLista"/>
        <w:numPr>
          <w:ilvl w:val="0"/>
          <w:numId w:val="8"/>
        </w:numPr>
        <w:spacing w:line="360" w:lineRule="auto"/>
        <w:ind w:left="567" w:firstLine="0"/>
        <w:jc w:val="both"/>
        <w:rPr>
          <w:rFonts w:ascii="Cambria" w:hAnsi="Cambria"/>
          <w:sz w:val="24"/>
          <w:szCs w:val="24"/>
        </w:rPr>
      </w:pPr>
      <w:r w:rsidRPr="00E93B99">
        <w:rPr>
          <w:rFonts w:ascii="Cambria" w:hAnsi="Cambria"/>
          <w:sz w:val="24"/>
          <w:szCs w:val="24"/>
        </w:rPr>
        <w:t>não há previsão legal que imponha Autorização de Funcionamento da ANVISA para empresas que realizam exclusivamente serviços de manutenção de equipamentos odontológicos, à luz da Lei nº 6.360/1976;</w:t>
      </w:r>
    </w:p>
    <w:p w14:paraId="506A344B" w14:textId="77777777" w:rsidR="00AD13E2" w:rsidRPr="00E93B99" w:rsidRDefault="00AD13E2" w:rsidP="00E93B99">
      <w:pPr>
        <w:pStyle w:val="PargrafodaLista"/>
        <w:numPr>
          <w:ilvl w:val="0"/>
          <w:numId w:val="8"/>
        </w:numPr>
        <w:spacing w:line="360" w:lineRule="auto"/>
        <w:ind w:left="567" w:firstLine="0"/>
        <w:jc w:val="both"/>
        <w:rPr>
          <w:rFonts w:ascii="Cambria" w:hAnsi="Cambria"/>
          <w:sz w:val="24"/>
          <w:szCs w:val="24"/>
        </w:rPr>
      </w:pPr>
      <w:r w:rsidRPr="00E93B99">
        <w:rPr>
          <w:rFonts w:ascii="Cambria" w:hAnsi="Cambria"/>
          <w:sz w:val="24"/>
          <w:szCs w:val="24"/>
        </w:rPr>
        <w:t>a atividade objeto da licitação não se encontra sujeita ao licenciamento sanitário da SUVISA, nos termos do Decreto Estadual nº 26.721/2017, por inexistir enquadramento específico da atividade entre aquelas fiscalizadas;</w:t>
      </w:r>
    </w:p>
    <w:p w14:paraId="5EBF0421" w14:textId="77777777" w:rsidR="00AD13E2" w:rsidRPr="00E93B99" w:rsidRDefault="00AD13E2" w:rsidP="00E93B99">
      <w:pPr>
        <w:pStyle w:val="PargrafodaLista"/>
        <w:numPr>
          <w:ilvl w:val="0"/>
          <w:numId w:val="8"/>
        </w:numPr>
        <w:spacing w:line="360" w:lineRule="auto"/>
        <w:ind w:left="567" w:firstLine="0"/>
        <w:jc w:val="both"/>
        <w:rPr>
          <w:rFonts w:ascii="Cambria" w:hAnsi="Cambria"/>
          <w:sz w:val="24"/>
          <w:szCs w:val="24"/>
        </w:rPr>
      </w:pPr>
      <w:r w:rsidRPr="00E93B99">
        <w:rPr>
          <w:rFonts w:ascii="Cambria" w:hAnsi="Cambria"/>
          <w:sz w:val="24"/>
          <w:szCs w:val="24"/>
        </w:rPr>
        <w:t>tais exigências mostraram-se indevidas e restritivas à competitividade, devendo ser excluídas do edital;</w:t>
      </w:r>
    </w:p>
    <w:p w14:paraId="6C02AC03" w14:textId="4FFCD25A" w:rsidR="00AD13E2" w:rsidRPr="00E93B99" w:rsidRDefault="00AD13E2" w:rsidP="00E93B99">
      <w:pPr>
        <w:pStyle w:val="PargrafodaLista"/>
        <w:numPr>
          <w:ilvl w:val="0"/>
          <w:numId w:val="8"/>
        </w:numPr>
        <w:spacing w:line="360" w:lineRule="auto"/>
        <w:ind w:left="567" w:firstLine="0"/>
        <w:jc w:val="both"/>
        <w:rPr>
          <w:rFonts w:ascii="Cambria" w:hAnsi="Cambria"/>
          <w:sz w:val="24"/>
          <w:szCs w:val="24"/>
        </w:rPr>
      </w:pPr>
      <w:r w:rsidRPr="00E93B99">
        <w:rPr>
          <w:rFonts w:ascii="Cambria" w:hAnsi="Cambria"/>
          <w:sz w:val="24"/>
          <w:szCs w:val="24"/>
        </w:rPr>
        <w:t>por outro lado, restou reconhecida a necessidade de inclusão de exigências de qualificação técnica, especialmente quanto à comprovação de responsável técnico habilitado, com registro no CREA ou CFT, bem como de capacidade técnico-profissional e técnico-operacional, mediante apresentação de acervo técnico compatível com o objeto.</w:t>
      </w:r>
    </w:p>
    <w:p w14:paraId="06274A43" w14:textId="01025F9A" w:rsidR="00245B03" w:rsidRPr="00E93B99" w:rsidRDefault="00AD13E2" w:rsidP="00AD13E2">
      <w:pPr>
        <w:spacing w:line="360" w:lineRule="auto"/>
        <w:ind w:firstLine="709"/>
        <w:jc w:val="both"/>
        <w:rPr>
          <w:rFonts w:ascii="Cambria" w:hAnsi="Cambria"/>
          <w:sz w:val="24"/>
          <w:szCs w:val="24"/>
        </w:rPr>
      </w:pPr>
      <w:r w:rsidRPr="00E93B99">
        <w:rPr>
          <w:rFonts w:ascii="Cambria" w:hAnsi="Cambria"/>
          <w:sz w:val="24"/>
          <w:szCs w:val="24"/>
        </w:rPr>
        <w:t xml:space="preserve">As deliberações adotadas pela autoridade competente encontram respaldo </w:t>
      </w:r>
      <w:r w:rsidR="00E93B99" w:rsidRPr="00E93B99">
        <w:rPr>
          <w:rFonts w:ascii="Cambria" w:hAnsi="Cambria"/>
          <w:sz w:val="24"/>
          <w:szCs w:val="24"/>
        </w:rPr>
        <w:t>na</w:t>
      </w:r>
      <w:r w:rsidRPr="00E93B99">
        <w:rPr>
          <w:rFonts w:ascii="Cambria" w:hAnsi="Cambria"/>
          <w:sz w:val="24"/>
          <w:szCs w:val="24"/>
        </w:rPr>
        <w:t xml:space="preserve"> Lei nº 14.133/2021, bem como na jurisprudência consolidada dos Tribunais de Contas, que admite a exigência de qualificação técnica indispensável à adequada execução contratual, vedando, contudo, exigências desprovidas de amparo legal ou desproporcionais ao objeto.</w:t>
      </w:r>
    </w:p>
    <w:p w14:paraId="531A52BD" w14:textId="77777777" w:rsidR="00E93B99" w:rsidRPr="00E93B99" w:rsidRDefault="00E93B99" w:rsidP="00AD13E2">
      <w:pPr>
        <w:spacing w:line="360" w:lineRule="auto"/>
        <w:ind w:firstLine="709"/>
        <w:jc w:val="both"/>
        <w:rPr>
          <w:rFonts w:ascii="Cambria" w:hAnsi="Cambria"/>
          <w:sz w:val="24"/>
          <w:szCs w:val="24"/>
        </w:rPr>
      </w:pPr>
    </w:p>
    <w:p w14:paraId="19247A2E" w14:textId="3D004BCE" w:rsidR="000D19BB" w:rsidRPr="00E93B99" w:rsidRDefault="000D19BB" w:rsidP="000D19BB">
      <w:pPr>
        <w:pStyle w:val="PargrafodaLista"/>
        <w:numPr>
          <w:ilvl w:val="0"/>
          <w:numId w:val="1"/>
        </w:numPr>
        <w:spacing w:line="360" w:lineRule="auto"/>
        <w:ind w:left="0" w:firstLine="0"/>
        <w:jc w:val="both"/>
        <w:rPr>
          <w:rFonts w:ascii="Cambria" w:hAnsi="Cambria"/>
          <w:sz w:val="24"/>
          <w:szCs w:val="24"/>
        </w:rPr>
      </w:pPr>
      <w:r w:rsidRPr="00E93B99">
        <w:rPr>
          <w:rFonts w:ascii="Cambria" w:hAnsi="Cambria"/>
          <w:b/>
          <w:bCs/>
          <w:sz w:val="24"/>
          <w:szCs w:val="24"/>
        </w:rPr>
        <w:t>CONCLUSÃO</w:t>
      </w:r>
    </w:p>
    <w:p w14:paraId="70BA19E5" w14:textId="4BF92C36" w:rsidR="000D19BB" w:rsidRPr="00E93B99" w:rsidRDefault="000D19BB" w:rsidP="000D19BB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E93B99">
        <w:rPr>
          <w:rFonts w:ascii="Cambria" w:hAnsi="Cambria"/>
          <w:color w:val="auto"/>
          <w:shd w:val="clear" w:color="auto" w:fill="FFFFFF"/>
          <w:lang w:val="pt-PT"/>
        </w:rPr>
        <w:t xml:space="preserve">Ante o exposto, recebo a Impugnação apresentada pela empresa </w:t>
      </w:r>
      <w:r w:rsidR="00E93B99" w:rsidRPr="00E93B99">
        <w:rPr>
          <w:rFonts w:ascii="Cambria" w:hAnsi="Cambria"/>
          <w:b/>
          <w:bCs/>
          <w:color w:val="auto"/>
          <w:shd w:val="clear" w:color="auto" w:fill="FFFFFF"/>
          <w:lang w:val="pt-PT"/>
        </w:rPr>
        <w:t>ROBENILDO MIRANDA DOS SANTOS</w:t>
      </w:r>
      <w:r w:rsidRPr="00E93B99">
        <w:rPr>
          <w:rFonts w:ascii="Cambria" w:hAnsi="Cambria"/>
          <w:b/>
          <w:bCs/>
          <w:color w:val="auto"/>
          <w:shd w:val="clear" w:color="auto" w:fill="FFFFFF"/>
          <w:lang w:val="pt-PT"/>
        </w:rPr>
        <w:t>,</w:t>
      </w:r>
      <w:r w:rsidRPr="00E93B99">
        <w:rPr>
          <w:rFonts w:ascii="Cambria" w:hAnsi="Cambria"/>
          <w:color w:val="auto"/>
          <w:shd w:val="clear" w:color="auto" w:fill="FFFFFF"/>
          <w:lang w:val="pt-PT"/>
        </w:rPr>
        <w:t xml:space="preserve"> inscrita no CNPJ sob o n° </w:t>
      </w:r>
      <w:r w:rsidR="00E93B99" w:rsidRPr="00E93B99">
        <w:rPr>
          <w:rFonts w:ascii="Cambria" w:hAnsi="Cambria"/>
          <w:color w:val="auto"/>
          <w:shd w:val="clear" w:color="auto" w:fill="FFFFFF"/>
          <w:lang w:val="pt-PT"/>
        </w:rPr>
        <w:t>43.050.880/0001-13</w:t>
      </w:r>
      <w:r w:rsidR="00E93B99" w:rsidRPr="00E93B99">
        <w:rPr>
          <w:rFonts w:ascii="Cambria" w:hAnsi="Cambria"/>
          <w:color w:val="auto"/>
          <w:shd w:val="clear" w:color="auto" w:fill="FFFFFF"/>
          <w:lang w:val="pt-PT"/>
        </w:rPr>
        <w:t xml:space="preserve"> </w:t>
      </w:r>
      <w:r w:rsidRPr="00E93B99">
        <w:rPr>
          <w:rFonts w:ascii="Cambria" w:hAnsi="Cambria"/>
          <w:color w:val="auto"/>
          <w:shd w:val="clear" w:color="auto" w:fill="FFFFFF"/>
          <w:lang w:val="pt-PT"/>
        </w:rPr>
        <w:t xml:space="preserve">e, </w:t>
      </w:r>
      <w:r w:rsidR="00E93B99" w:rsidRPr="00E93B99">
        <w:rPr>
          <w:rFonts w:ascii="Cambria" w:hAnsi="Cambria"/>
          <w:color w:val="auto"/>
          <w:shd w:val="clear" w:color="auto" w:fill="FFFFFF"/>
          <w:lang w:val="pt-PT"/>
        </w:rPr>
        <w:t xml:space="preserve">no mérito, decide-se pelo seu </w:t>
      </w:r>
      <w:r w:rsidR="00E93B99" w:rsidRPr="00E93B99">
        <w:rPr>
          <w:rFonts w:ascii="Cambria" w:hAnsi="Cambria"/>
          <w:b/>
          <w:bCs/>
          <w:color w:val="auto"/>
          <w:shd w:val="clear" w:color="auto" w:fill="FFFFFF"/>
          <w:lang w:val="pt-PT"/>
        </w:rPr>
        <w:t>PROVIMENTO</w:t>
      </w:r>
      <w:r w:rsidR="00E93B99" w:rsidRPr="00E93B99">
        <w:rPr>
          <w:rFonts w:ascii="Cambria" w:hAnsi="Cambria"/>
          <w:color w:val="auto"/>
          <w:shd w:val="clear" w:color="auto" w:fill="FFFFFF"/>
          <w:lang w:val="pt-PT"/>
        </w:rPr>
        <w:t xml:space="preserve">, </w:t>
      </w:r>
      <w:r w:rsidR="00E93B99" w:rsidRPr="00E93B99">
        <w:rPr>
          <w:rFonts w:ascii="Cambria" w:hAnsi="Cambria"/>
          <w:color w:val="auto"/>
          <w:shd w:val="clear" w:color="auto" w:fill="FFFFFF"/>
          <w:lang w:val="pt-PT"/>
        </w:rPr>
        <w:t xml:space="preserve">com a consequente retificação do </w:t>
      </w:r>
      <w:r w:rsidR="00E93B99" w:rsidRPr="00E93B99">
        <w:rPr>
          <w:rFonts w:ascii="Cambria" w:hAnsi="Cambria"/>
          <w:color w:val="auto"/>
          <w:shd w:val="clear" w:color="auto" w:fill="FFFFFF"/>
          <w:lang w:val="pt-PT"/>
        </w:rPr>
        <w:lastRenderedPageBreak/>
        <w:t>edital, preservando-se a regularidade, a competitividade e a segurança jurídica do procedimento licitatório.</w:t>
      </w:r>
    </w:p>
    <w:p w14:paraId="12EDC9C0" w14:textId="00BC4140" w:rsidR="000D19BB" w:rsidRPr="00E93B99" w:rsidRDefault="000D19BB" w:rsidP="000D19BB">
      <w:pPr>
        <w:spacing w:before="240"/>
        <w:jc w:val="right"/>
        <w:rPr>
          <w:rFonts w:ascii="Cambria" w:hAnsi="Cambria" w:cs="Times New Roman"/>
          <w:b/>
          <w:i/>
        </w:rPr>
      </w:pPr>
      <w:r w:rsidRPr="00E93B99">
        <w:rPr>
          <w:rFonts w:ascii="Cambria" w:hAnsi="Cambria" w:cs="Times New Roman"/>
          <w:bCs/>
          <w:iCs/>
          <w:sz w:val="24"/>
          <w:szCs w:val="24"/>
        </w:rPr>
        <w:t xml:space="preserve">Jardim do Seridó/RN, </w:t>
      </w:r>
      <w:r w:rsidR="00E93B99">
        <w:rPr>
          <w:rFonts w:ascii="Cambria" w:hAnsi="Cambria" w:cs="Times New Roman"/>
          <w:bCs/>
          <w:iCs/>
          <w:sz w:val="24"/>
          <w:szCs w:val="24"/>
        </w:rPr>
        <w:t>16 de dezembro</w:t>
      </w:r>
      <w:r w:rsidRPr="00E93B99">
        <w:rPr>
          <w:rFonts w:ascii="Cambria" w:hAnsi="Cambria" w:cs="Times New Roman"/>
          <w:bCs/>
          <w:iCs/>
          <w:sz w:val="24"/>
          <w:szCs w:val="24"/>
        </w:rPr>
        <w:t xml:space="preserve"> de 2025.</w:t>
      </w:r>
    </w:p>
    <w:p w14:paraId="476177A2" w14:textId="2C5892A1" w:rsidR="000D19BB" w:rsidRPr="00E93B99" w:rsidRDefault="000D19BB" w:rsidP="000D19BB">
      <w:pPr>
        <w:pStyle w:val="Corpodetexto"/>
        <w:spacing w:before="240"/>
        <w:jc w:val="both"/>
        <w:rPr>
          <w:rFonts w:ascii="Cambria" w:hAnsi="Cambria" w:cs="Times New Roman"/>
          <w:b/>
          <w:i/>
        </w:rPr>
      </w:pPr>
    </w:p>
    <w:p w14:paraId="5CFDFD5C" w14:textId="77777777" w:rsidR="00245B03" w:rsidRPr="00E93B99" w:rsidRDefault="00245B03" w:rsidP="000D19BB">
      <w:pPr>
        <w:pStyle w:val="Corpodetexto"/>
        <w:spacing w:before="240"/>
        <w:jc w:val="both"/>
        <w:rPr>
          <w:rFonts w:ascii="Cambria" w:hAnsi="Cambria" w:cs="Times New Roman"/>
          <w:b/>
          <w:i/>
        </w:rPr>
      </w:pPr>
    </w:p>
    <w:p w14:paraId="42A31409" w14:textId="77777777" w:rsidR="000D19BB" w:rsidRPr="00E93B99" w:rsidRDefault="000D19BB" w:rsidP="000D19BB">
      <w:pPr>
        <w:pStyle w:val="Corpodetexto"/>
        <w:spacing w:before="240"/>
        <w:jc w:val="both"/>
        <w:rPr>
          <w:rFonts w:ascii="Cambria" w:hAnsi="Cambria" w:cs="Times New Roman"/>
          <w:b/>
          <w:i/>
        </w:rPr>
      </w:pPr>
    </w:p>
    <w:p w14:paraId="054470E5" w14:textId="77777777" w:rsidR="000D19BB" w:rsidRPr="00E93B99" w:rsidRDefault="000D19BB" w:rsidP="000D19BB">
      <w:pPr>
        <w:ind w:left="1843" w:right="1936" w:hanging="142"/>
        <w:jc w:val="center"/>
        <w:rPr>
          <w:rFonts w:ascii="Cambria" w:hAnsi="Cambria" w:cs="Times New Roman"/>
          <w:b/>
          <w:i/>
          <w:iCs/>
          <w:sz w:val="24"/>
          <w:szCs w:val="24"/>
        </w:rPr>
      </w:pPr>
    </w:p>
    <w:p w14:paraId="2DABB50B" w14:textId="77777777" w:rsidR="000D19BB" w:rsidRPr="00E93B99" w:rsidRDefault="000D19BB" w:rsidP="000D19BB">
      <w:pPr>
        <w:ind w:left="1843" w:right="1936" w:hanging="142"/>
        <w:jc w:val="center"/>
        <w:rPr>
          <w:rFonts w:ascii="Cambria" w:hAnsi="Cambria" w:cs="Times New Roman"/>
          <w:b/>
          <w:i/>
          <w:iCs/>
          <w:sz w:val="24"/>
          <w:szCs w:val="24"/>
        </w:rPr>
      </w:pPr>
      <w:r w:rsidRPr="00E93B99">
        <w:rPr>
          <w:rFonts w:ascii="Cambria" w:hAnsi="Cambria" w:cs="Times New Roman"/>
          <w:b/>
          <w:i/>
          <w:iCs/>
          <w:sz w:val="24"/>
          <w:szCs w:val="24"/>
        </w:rPr>
        <w:t>José Fernandes de Oliveira Neto</w:t>
      </w:r>
    </w:p>
    <w:p w14:paraId="2F4D3526" w14:textId="77777777" w:rsidR="000D19BB" w:rsidRPr="00E93B99" w:rsidRDefault="000D19BB" w:rsidP="000D19BB">
      <w:pPr>
        <w:ind w:left="1843" w:right="1936" w:hanging="142"/>
        <w:jc w:val="center"/>
        <w:rPr>
          <w:rFonts w:ascii="Cambria" w:hAnsi="Cambria" w:cs="Times New Roman"/>
          <w:bCs/>
          <w:i/>
          <w:iCs/>
          <w:sz w:val="24"/>
          <w:szCs w:val="24"/>
        </w:rPr>
      </w:pPr>
      <w:r w:rsidRPr="00E93B99">
        <w:rPr>
          <w:rFonts w:ascii="Cambria" w:hAnsi="Cambria" w:cs="Times New Roman"/>
          <w:bCs/>
          <w:i/>
          <w:iCs/>
          <w:sz w:val="24"/>
          <w:szCs w:val="24"/>
        </w:rPr>
        <w:t>Pregoeiro Municipal</w:t>
      </w:r>
    </w:p>
    <w:p w14:paraId="0EBF5F59" w14:textId="77777777" w:rsidR="000D19BB" w:rsidRPr="00E93B99" w:rsidRDefault="000D19BB" w:rsidP="000D19BB">
      <w:pPr>
        <w:spacing w:line="360" w:lineRule="auto"/>
        <w:ind w:firstLine="709"/>
        <w:jc w:val="both"/>
        <w:rPr>
          <w:rFonts w:ascii="Cambria" w:hAnsi="Cambria"/>
          <w:sz w:val="24"/>
          <w:szCs w:val="24"/>
        </w:rPr>
      </w:pPr>
    </w:p>
    <w:sectPr w:rsidR="000D19BB" w:rsidRPr="00E93B99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329F34" w14:textId="77777777" w:rsidR="00A41D3F" w:rsidRDefault="00A41D3F" w:rsidP="00510D4F">
      <w:pPr>
        <w:spacing w:after="0" w:line="240" w:lineRule="auto"/>
      </w:pPr>
      <w:r>
        <w:separator/>
      </w:r>
    </w:p>
  </w:endnote>
  <w:endnote w:type="continuationSeparator" w:id="0">
    <w:p w14:paraId="1DEDAB89" w14:textId="77777777" w:rsidR="00A41D3F" w:rsidRDefault="00A41D3F" w:rsidP="00510D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skervilleTMed">
    <w:altName w:val="Baskerville Old Face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6D8265" w14:textId="77777777" w:rsidR="00A41D3F" w:rsidRDefault="00A41D3F" w:rsidP="00510D4F">
      <w:pPr>
        <w:spacing w:after="0" w:line="240" w:lineRule="auto"/>
      </w:pPr>
      <w:r>
        <w:separator/>
      </w:r>
    </w:p>
  </w:footnote>
  <w:footnote w:type="continuationSeparator" w:id="0">
    <w:p w14:paraId="760DC392" w14:textId="77777777" w:rsidR="00A41D3F" w:rsidRDefault="00A41D3F" w:rsidP="00510D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E1CFE4" w14:textId="77777777" w:rsidR="00510D4F" w:rsidRDefault="00510D4F" w:rsidP="00510D4F">
    <w:pPr>
      <w:pStyle w:val="Cabealho"/>
      <w:tabs>
        <w:tab w:val="right" w:pos="9072"/>
      </w:tabs>
      <w:ind w:right="-568"/>
      <w:jc w:val="center"/>
      <w:rPr>
        <w:rFonts w:ascii="BaskervilleTMed" w:hAnsi="BaskervilleTMed"/>
        <w:sz w:val="18"/>
        <w:szCs w:val="24"/>
      </w:rPr>
    </w:pPr>
    <w:r>
      <w:rPr>
        <w:rFonts w:ascii="BaskervilleTMed" w:hAnsi="BaskervilleTMed"/>
        <w:sz w:val="18"/>
        <w:szCs w:val="24"/>
      </w:rPr>
      <w:object w:dxaOrig="2565" w:dyaOrig="4694" w14:anchorId="1C9C3D2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6pt;height:49.2pt" fillcolor="window">
          <v:imagedata r:id="rId1" o:title=""/>
        </v:shape>
        <o:OLEObject Type="Embed" ProgID="PBrush" ShapeID="_x0000_i1025" DrawAspect="Content" ObjectID="_1827388663" r:id="rId2"/>
      </w:object>
    </w:r>
  </w:p>
  <w:p w14:paraId="61F11A72" w14:textId="77777777" w:rsidR="00510D4F" w:rsidRPr="00EE0B53" w:rsidRDefault="00510D4F" w:rsidP="00510D4F">
    <w:pPr>
      <w:pStyle w:val="Cabealho"/>
      <w:tabs>
        <w:tab w:val="right" w:pos="9072"/>
      </w:tabs>
      <w:ind w:right="-568"/>
      <w:jc w:val="center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>ESTADO DO RIO GRANDE DO NORTE</w:t>
    </w:r>
  </w:p>
  <w:p w14:paraId="79905F3A" w14:textId="77777777" w:rsidR="00510D4F" w:rsidRPr="00EE0B53" w:rsidRDefault="00510D4F" w:rsidP="00510D4F">
    <w:pPr>
      <w:pStyle w:val="Cabealho"/>
      <w:tabs>
        <w:tab w:val="right" w:pos="9072"/>
      </w:tabs>
      <w:ind w:right="-568"/>
      <w:jc w:val="center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>PREFEITURA DO MUNICÍPIO DE JARDIM DO SERIDÓ</w:t>
    </w:r>
  </w:p>
  <w:p w14:paraId="32A22FC7" w14:textId="77777777" w:rsidR="00510D4F" w:rsidRPr="00EE0B53" w:rsidRDefault="00510D4F" w:rsidP="00510D4F">
    <w:pPr>
      <w:pStyle w:val="Cabealho"/>
      <w:tabs>
        <w:tab w:val="right" w:pos="9072"/>
      </w:tabs>
      <w:ind w:right="-568"/>
      <w:jc w:val="center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>Centro de Múltiplo Uso “Prefeito Pedro Izidro de Medeiros”</w:t>
    </w:r>
  </w:p>
  <w:p w14:paraId="130FBAF0" w14:textId="77777777" w:rsidR="00510D4F" w:rsidRPr="00EE0B53" w:rsidRDefault="00510D4F" w:rsidP="00510D4F">
    <w:pPr>
      <w:pStyle w:val="Cabealho"/>
      <w:tabs>
        <w:tab w:val="left" w:pos="1275"/>
        <w:tab w:val="center" w:pos="4819"/>
        <w:tab w:val="right" w:pos="9072"/>
      </w:tabs>
      <w:ind w:right="-568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ab/>
    </w:r>
    <w:r w:rsidRPr="00EE0B53">
      <w:rPr>
        <w:rFonts w:ascii="Times New Roman" w:hAnsi="Times New Roman" w:cs="Times New Roman"/>
        <w:sz w:val="18"/>
        <w:szCs w:val="18"/>
      </w:rPr>
      <w:tab/>
      <w:t>Praça “Prefeito Manoel Paulino dos Santos Filho” nº 228, Centro, Jardim do Seridó/RN CEP: 59343-000</w:t>
    </w:r>
  </w:p>
  <w:p w14:paraId="5D835444" w14:textId="77777777" w:rsidR="00510D4F" w:rsidRPr="00EE0B53" w:rsidRDefault="00510D4F" w:rsidP="00510D4F">
    <w:pPr>
      <w:pStyle w:val="Cabealho"/>
      <w:tabs>
        <w:tab w:val="left" w:pos="1275"/>
        <w:tab w:val="center" w:pos="4819"/>
        <w:tab w:val="right" w:pos="9072"/>
      </w:tabs>
      <w:ind w:right="-568"/>
      <w:jc w:val="center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>Fones: (84) 3472.3900 – (84) 99655-1542</w:t>
    </w:r>
  </w:p>
  <w:p w14:paraId="12448EB2" w14:textId="77777777" w:rsidR="00510D4F" w:rsidRDefault="00510D4F" w:rsidP="00510D4F">
    <w:pPr>
      <w:pStyle w:val="Cabealho"/>
      <w:tabs>
        <w:tab w:val="right" w:pos="9072"/>
      </w:tabs>
      <w:ind w:right="-568"/>
      <w:jc w:val="center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>CNPJ 08.086.662/0001-38</w:t>
    </w:r>
  </w:p>
  <w:p w14:paraId="037D3D91" w14:textId="77777777" w:rsidR="00510D4F" w:rsidRDefault="00510D4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08068C"/>
    <w:multiLevelType w:val="multilevel"/>
    <w:tmpl w:val="FF6EE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1" w15:restartNumberingAfterBreak="0">
    <w:nsid w:val="1B4154E3"/>
    <w:multiLevelType w:val="hybridMultilevel"/>
    <w:tmpl w:val="82406BAE"/>
    <w:lvl w:ilvl="0" w:tplc="0416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37FF6EB1"/>
    <w:multiLevelType w:val="hybridMultilevel"/>
    <w:tmpl w:val="B4AA6EC4"/>
    <w:lvl w:ilvl="0" w:tplc="0416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53DD0161"/>
    <w:multiLevelType w:val="multilevel"/>
    <w:tmpl w:val="1292CB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1857E87"/>
    <w:multiLevelType w:val="hybridMultilevel"/>
    <w:tmpl w:val="C0923024"/>
    <w:lvl w:ilvl="0" w:tplc="0416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DA7EA3"/>
    <w:multiLevelType w:val="hybridMultilevel"/>
    <w:tmpl w:val="F5764436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6DE95465"/>
    <w:multiLevelType w:val="multilevel"/>
    <w:tmpl w:val="C27C8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BF36AB8"/>
    <w:multiLevelType w:val="hybridMultilevel"/>
    <w:tmpl w:val="C0224CC4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3"/>
  </w:num>
  <w:num w:numId="5">
    <w:abstractNumId w:val="2"/>
  </w:num>
  <w:num w:numId="6">
    <w:abstractNumId w:val="7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D4F"/>
    <w:rsid w:val="000D19BB"/>
    <w:rsid w:val="00230A18"/>
    <w:rsid w:val="00245B03"/>
    <w:rsid w:val="00510D4F"/>
    <w:rsid w:val="00565787"/>
    <w:rsid w:val="00A41D3F"/>
    <w:rsid w:val="00A81304"/>
    <w:rsid w:val="00AD13E2"/>
    <w:rsid w:val="00E77B9E"/>
    <w:rsid w:val="00E93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3E0A64E8"/>
  <w15:chartTrackingRefBased/>
  <w15:docId w15:val="{7E9E05CA-A9E7-470F-885A-53DFACEBE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6578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 Char,Char"/>
    <w:basedOn w:val="Normal"/>
    <w:link w:val="CabealhoChar"/>
    <w:unhideWhenUsed/>
    <w:rsid w:val="00510D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 Char Char,Char Char"/>
    <w:basedOn w:val="Fontepargpadro"/>
    <w:link w:val="Cabealho"/>
    <w:rsid w:val="00510D4F"/>
  </w:style>
  <w:style w:type="paragraph" w:styleId="Rodap">
    <w:name w:val="footer"/>
    <w:basedOn w:val="Normal"/>
    <w:link w:val="RodapChar"/>
    <w:uiPriority w:val="99"/>
    <w:unhideWhenUsed/>
    <w:rsid w:val="00510D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10D4F"/>
  </w:style>
  <w:style w:type="paragraph" w:styleId="PargrafodaLista">
    <w:name w:val="List Paragraph"/>
    <w:basedOn w:val="Normal"/>
    <w:uiPriority w:val="34"/>
    <w:qFormat/>
    <w:rsid w:val="00510D4F"/>
    <w:pPr>
      <w:ind w:left="720"/>
      <w:contextualSpacing/>
    </w:pPr>
  </w:style>
  <w:style w:type="character" w:customStyle="1" w:styleId="Ttulo4Char">
    <w:name w:val="Título 4 Char"/>
    <w:basedOn w:val="Fontepargpadro"/>
    <w:link w:val="Ttulo4"/>
    <w:uiPriority w:val="9"/>
    <w:semiHidden/>
    <w:rsid w:val="00565787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5657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565787"/>
    <w:rPr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0D19BB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0D19BB"/>
    <w:rPr>
      <w:rFonts w:ascii="Arial" w:eastAsia="Arial" w:hAnsi="Arial" w:cs="Arial"/>
      <w:sz w:val="24"/>
      <w:szCs w:val="24"/>
      <w:lang w:val="pt-PT"/>
    </w:rPr>
  </w:style>
  <w:style w:type="paragraph" w:customStyle="1" w:styleId="Default">
    <w:name w:val="Default"/>
    <w:rsid w:val="000D19B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1425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704</Words>
  <Characters>3805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MEDEIROS DE ARAÚJO</dc:creator>
  <cp:keywords/>
  <dc:description/>
  <cp:lastModifiedBy>DOUGLAS MEDEIROS DE ARAÚJO</cp:lastModifiedBy>
  <cp:revision>2</cp:revision>
  <dcterms:created xsi:type="dcterms:W3CDTF">2025-12-16T14:11:00Z</dcterms:created>
  <dcterms:modified xsi:type="dcterms:W3CDTF">2025-12-16T14:11:00Z</dcterms:modified>
</cp:coreProperties>
</file>