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7125B07E"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6B51A0">
        <w:rPr>
          <w:rFonts w:ascii="Cambria" w:hAnsi="Cambria"/>
          <w:b/>
          <w:bCs/>
          <w:sz w:val="32"/>
          <w:szCs w:val="32"/>
          <w:u w:val="single"/>
        </w:rPr>
        <w:t>002</w:t>
      </w:r>
      <w:r w:rsidRPr="00510D4F">
        <w:rPr>
          <w:rFonts w:ascii="Cambria" w:hAnsi="Cambria"/>
          <w:b/>
          <w:bCs/>
          <w:sz w:val="32"/>
          <w:szCs w:val="32"/>
          <w:u w:val="single"/>
        </w:rPr>
        <w:t>/202</w:t>
      </w:r>
      <w:r w:rsidR="006B51A0">
        <w:rPr>
          <w:rFonts w:ascii="Cambria" w:hAnsi="Cambria"/>
          <w:b/>
          <w:bCs/>
          <w:sz w:val="32"/>
          <w:szCs w:val="32"/>
          <w:u w:val="single"/>
        </w:rPr>
        <w:t>6</w:t>
      </w:r>
    </w:p>
    <w:p w14:paraId="7C1A94D9" w14:textId="2168846F" w:rsidR="00510D4F" w:rsidRDefault="00510D4F" w:rsidP="00510D4F">
      <w:pPr>
        <w:spacing w:line="360" w:lineRule="auto"/>
        <w:jc w:val="both"/>
        <w:rPr>
          <w:rFonts w:ascii="Cambria" w:hAnsi="Cambria"/>
          <w:sz w:val="24"/>
          <w:szCs w:val="24"/>
        </w:rPr>
      </w:pPr>
      <w:r w:rsidRPr="00510D4F">
        <w:rPr>
          <w:rFonts w:ascii="Cambria" w:hAnsi="Cambria"/>
          <w:b/>
          <w:bCs/>
          <w:sz w:val="24"/>
          <w:szCs w:val="24"/>
        </w:rPr>
        <w:t xml:space="preserve">OBJETO: </w:t>
      </w:r>
      <w:r w:rsidR="006B51A0" w:rsidRPr="006B51A0">
        <w:rPr>
          <w:rFonts w:ascii="Cambria" w:hAnsi="Cambria"/>
          <w:sz w:val="24"/>
          <w:szCs w:val="24"/>
        </w:rPr>
        <w:t>Aquisição de insumos ambulatoriais para atender as necessidades da Secretaria Municipal de Saúde de Jardim do Seridó/RN</w:t>
      </w:r>
      <w:r w:rsidR="002B0810">
        <w:rPr>
          <w:rFonts w:ascii="Cambria" w:hAnsi="Cambria"/>
          <w:sz w:val="24"/>
          <w:szCs w:val="24"/>
        </w:rPr>
        <w:t>.</w:t>
      </w:r>
    </w:p>
    <w:p w14:paraId="587FC184" w14:textId="77777777" w:rsidR="00230A18" w:rsidRDefault="00230A18"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67E3BFCD" w14:textId="733BA219" w:rsidR="00230A18" w:rsidRPr="00230A18" w:rsidRDefault="006B51A0" w:rsidP="006B51A0">
      <w:pPr>
        <w:spacing w:line="360" w:lineRule="auto"/>
        <w:ind w:firstLine="708"/>
        <w:jc w:val="both"/>
        <w:rPr>
          <w:rFonts w:ascii="Cambria" w:hAnsi="Cambria"/>
          <w:sz w:val="24"/>
          <w:szCs w:val="24"/>
        </w:rPr>
      </w:pPr>
      <w:r w:rsidRPr="006B51A0">
        <w:rPr>
          <w:rFonts w:ascii="Cambria" w:hAnsi="Cambria"/>
          <w:sz w:val="24"/>
          <w:szCs w:val="24"/>
        </w:rPr>
        <w:t xml:space="preserve">Trata-se de impugnação apresentada por </w:t>
      </w:r>
      <w:r w:rsidRPr="006B51A0">
        <w:rPr>
          <w:rFonts w:ascii="Cambria" w:hAnsi="Cambria"/>
          <w:b/>
          <w:bCs/>
          <w:sz w:val="24"/>
          <w:szCs w:val="24"/>
        </w:rPr>
        <w:t>MARIA RITA SILVA CANTARELI</w:t>
      </w:r>
      <w:r w:rsidRPr="006B51A0">
        <w:rPr>
          <w:rFonts w:ascii="Cambria" w:hAnsi="Cambria"/>
          <w:sz w:val="24"/>
          <w:szCs w:val="24"/>
        </w:rPr>
        <w:t>, inscrita no CPF 063.033.441-27, com endereço profissional à Av. Pedro Álvares Cabral, 359, Afonso Pena, CEP 75513-440, Itumbiara-GO</w:t>
      </w:r>
      <w:r>
        <w:rPr>
          <w:rFonts w:ascii="Cambria" w:hAnsi="Cambria"/>
          <w:sz w:val="24"/>
          <w:szCs w:val="24"/>
        </w:rPr>
        <w:t xml:space="preserve">, </w:t>
      </w:r>
      <w:r w:rsidRPr="006B51A0">
        <w:rPr>
          <w:rFonts w:ascii="Cambria" w:hAnsi="Cambria"/>
          <w:sz w:val="24"/>
          <w:szCs w:val="24"/>
        </w:rPr>
        <w:t>em face do Edital do Pregão Eletrônico nº 0002/2026.</w:t>
      </w:r>
      <w:r w:rsidRPr="006B51A0">
        <w:rPr>
          <w:rFonts w:ascii="Cambria" w:hAnsi="Cambria"/>
          <w:sz w:val="24"/>
          <w:szCs w:val="24"/>
        </w:rPr>
        <w:t xml:space="preserve"> </w:t>
      </w:r>
      <w:r w:rsidR="00230A18"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7AE6A829" w:rsidR="00565787" w:rsidRDefault="00230A18" w:rsidP="006B51A0">
      <w:pPr>
        <w:spacing w:line="360" w:lineRule="auto"/>
        <w:ind w:firstLine="708"/>
        <w:jc w:val="both"/>
        <w:rPr>
          <w:rFonts w:ascii="Cambria" w:hAnsi="Cambria"/>
          <w:sz w:val="24"/>
          <w:szCs w:val="24"/>
        </w:rPr>
      </w:pPr>
      <w:r w:rsidRPr="00230A18">
        <w:rPr>
          <w:rFonts w:ascii="Cambria" w:hAnsi="Cambria"/>
          <w:sz w:val="24"/>
          <w:szCs w:val="24"/>
        </w:rPr>
        <w:t>Considerando que a sessão pública est</w:t>
      </w:r>
      <w:r w:rsidR="002B0810">
        <w:rPr>
          <w:rFonts w:ascii="Cambria" w:hAnsi="Cambria"/>
          <w:sz w:val="24"/>
          <w:szCs w:val="24"/>
        </w:rPr>
        <w:t>ava</w:t>
      </w:r>
      <w:r w:rsidRPr="00230A18">
        <w:rPr>
          <w:rFonts w:ascii="Cambria" w:hAnsi="Cambria"/>
          <w:sz w:val="24"/>
          <w:szCs w:val="24"/>
        </w:rPr>
        <w:t xml:space="preserve"> prevista para o dia </w:t>
      </w:r>
      <w:r w:rsidR="002B0810">
        <w:rPr>
          <w:rFonts w:ascii="Cambria" w:hAnsi="Cambria"/>
          <w:sz w:val="24"/>
          <w:szCs w:val="24"/>
        </w:rPr>
        <w:t>28</w:t>
      </w:r>
      <w:r w:rsidRPr="00230A18">
        <w:rPr>
          <w:rFonts w:ascii="Cambria" w:hAnsi="Cambria"/>
          <w:sz w:val="24"/>
          <w:szCs w:val="24"/>
        </w:rPr>
        <w:t xml:space="preserve">/11/2025 e que a impugnação foi protocolada em </w:t>
      </w:r>
      <w:r w:rsidR="002B0810">
        <w:rPr>
          <w:rFonts w:ascii="Cambria" w:hAnsi="Cambria"/>
          <w:sz w:val="24"/>
          <w:szCs w:val="24"/>
        </w:rPr>
        <w:t>18</w:t>
      </w:r>
      <w:r w:rsidRPr="00230A18">
        <w:rPr>
          <w:rFonts w:ascii="Cambria" w:hAnsi="Cambria"/>
          <w:sz w:val="24"/>
          <w:szCs w:val="24"/>
        </w:rPr>
        <w:t>/11/2025, verifica-se o cumprimento do prazo legal, motivo pelo qual se reconhece a tempestividade da impugnação.</w:t>
      </w:r>
    </w:p>
    <w:p w14:paraId="7DCE3962" w14:textId="1D145289" w:rsidR="002B0810" w:rsidRPr="00565787" w:rsidRDefault="002B0810" w:rsidP="006B51A0">
      <w:pPr>
        <w:spacing w:line="360" w:lineRule="auto"/>
        <w:ind w:firstLine="708"/>
        <w:jc w:val="both"/>
        <w:rPr>
          <w:rFonts w:ascii="Cambria" w:hAnsi="Cambria"/>
          <w:sz w:val="24"/>
          <w:szCs w:val="24"/>
        </w:rPr>
      </w:pPr>
      <w:r>
        <w:rPr>
          <w:rFonts w:ascii="Cambria" w:hAnsi="Cambria"/>
          <w:sz w:val="24"/>
          <w:szCs w:val="24"/>
        </w:rPr>
        <w:t xml:space="preserve">Ressalta-se que, a sessão previamente marcada foi suspensa para análise minuciosa dos pedidos de impugnação. </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303CE742" w14:textId="77777777" w:rsidR="006B51A0" w:rsidRPr="006B51A0" w:rsidRDefault="006B51A0" w:rsidP="006B51A0">
      <w:pPr>
        <w:pStyle w:val="NormalWeb"/>
        <w:rPr>
          <w:rFonts w:ascii="Cambria" w:eastAsiaTheme="minorHAnsi" w:hAnsi="Cambria" w:cstheme="minorBidi"/>
          <w:lang w:eastAsia="en-US"/>
        </w:rPr>
      </w:pPr>
      <w:r w:rsidRPr="006B51A0">
        <w:rPr>
          <w:rFonts w:ascii="Cambria" w:eastAsiaTheme="minorHAnsi" w:hAnsi="Cambria" w:cstheme="minorBidi"/>
          <w:lang w:eastAsia="en-US"/>
        </w:rPr>
        <w:t>A impugnante sustenta, em síntese:</w:t>
      </w:r>
    </w:p>
    <w:p w14:paraId="2B809F87" w14:textId="77777777" w:rsidR="006B51A0" w:rsidRPr="006B51A0" w:rsidRDefault="006B51A0" w:rsidP="006B51A0">
      <w:pPr>
        <w:pStyle w:val="PargrafodaLista"/>
        <w:numPr>
          <w:ilvl w:val="0"/>
          <w:numId w:val="5"/>
        </w:numPr>
        <w:spacing w:line="360" w:lineRule="auto"/>
        <w:jc w:val="both"/>
        <w:rPr>
          <w:rFonts w:ascii="Cambria" w:hAnsi="Cambria"/>
          <w:sz w:val="24"/>
          <w:szCs w:val="24"/>
        </w:rPr>
      </w:pPr>
      <w:r w:rsidRPr="006B51A0">
        <w:rPr>
          <w:rFonts w:ascii="Cambria" w:hAnsi="Cambria"/>
          <w:sz w:val="24"/>
          <w:szCs w:val="24"/>
        </w:rPr>
        <w:t>Que os itens 40 a 46 do edital foram destinados exclusivamente à participação de Microempresas (ME) e Empresas de Pequeno Porte (EPP);</w:t>
      </w:r>
    </w:p>
    <w:p w14:paraId="0074BBA3" w14:textId="77777777" w:rsidR="006B51A0" w:rsidRPr="006B51A0" w:rsidRDefault="006B51A0" w:rsidP="006B51A0">
      <w:pPr>
        <w:pStyle w:val="PargrafodaLista"/>
        <w:numPr>
          <w:ilvl w:val="0"/>
          <w:numId w:val="5"/>
        </w:numPr>
        <w:spacing w:line="360" w:lineRule="auto"/>
        <w:jc w:val="both"/>
        <w:rPr>
          <w:rFonts w:ascii="Cambria" w:hAnsi="Cambria"/>
          <w:sz w:val="24"/>
          <w:szCs w:val="24"/>
        </w:rPr>
      </w:pPr>
      <w:r w:rsidRPr="006B51A0">
        <w:rPr>
          <w:rFonts w:ascii="Cambria" w:hAnsi="Cambria"/>
          <w:sz w:val="24"/>
          <w:szCs w:val="24"/>
        </w:rPr>
        <w:t>Que a exclusividade não pode ser aplicada apenas com base no critério do valor (até R$ 80.000,00);</w:t>
      </w:r>
    </w:p>
    <w:p w14:paraId="194F1B88" w14:textId="77777777" w:rsidR="006B51A0" w:rsidRPr="006B51A0" w:rsidRDefault="006B51A0" w:rsidP="006B51A0">
      <w:pPr>
        <w:pStyle w:val="PargrafodaLista"/>
        <w:numPr>
          <w:ilvl w:val="0"/>
          <w:numId w:val="5"/>
        </w:numPr>
        <w:spacing w:line="360" w:lineRule="auto"/>
        <w:jc w:val="both"/>
        <w:rPr>
          <w:rFonts w:ascii="Cambria" w:hAnsi="Cambria"/>
          <w:sz w:val="24"/>
          <w:szCs w:val="24"/>
        </w:rPr>
      </w:pPr>
      <w:r w:rsidRPr="006B51A0">
        <w:rPr>
          <w:rFonts w:ascii="Cambria" w:hAnsi="Cambria"/>
          <w:sz w:val="24"/>
          <w:szCs w:val="24"/>
        </w:rPr>
        <w:lastRenderedPageBreak/>
        <w:t>Que incidiria a exceção prevista no art. 49, II e III, da Lei Complementar nº 123/2006;</w:t>
      </w:r>
    </w:p>
    <w:p w14:paraId="64E1222F" w14:textId="77777777" w:rsidR="006B51A0" w:rsidRDefault="006B51A0" w:rsidP="006B51A0">
      <w:pPr>
        <w:pStyle w:val="PargrafodaLista"/>
        <w:numPr>
          <w:ilvl w:val="0"/>
          <w:numId w:val="5"/>
        </w:numPr>
        <w:spacing w:line="360" w:lineRule="auto"/>
        <w:jc w:val="both"/>
        <w:rPr>
          <w:rFonts w:ascii="Cambria" w:hAnsi="Cambria"/>
          <w:sz w:val="24"/>
          <w:szCs w:val="24"/>
        </w:rPr>
      </w:pPr>
      <w:r w:rsidRPr="006B51A0">
        <w:rPr>
          <w:rFonts w:ascii="Cambria" w:hAnsi="Cambria"/>
          <w:sz w:val="24"/>
          <w:szCs w:val="24"/>
        </w:rPr>
        <w:t>Que a restrição comprometeria a competitividade e a vantajosidade;</w:t>
      </w:r>
    </w:p>
    <w:p w14:paraId="4D01F213" w14:textId="46F5F5BD" w:rsidR="006B51A0" w:rsidRPr="006B51A0" w:rsidRDefault="006B51A0" w:rsidP="006B51A0">
      <w:pPr>
        <w:pStyle w:val="PargrafodaLista"/>
        <w:numPr>
          <w:ilvl w:val="0"/>
          <w:numId w:val="5"/>
        </w:numPr>
        <w:spacing w:line="360" w:lineRule="auto"/>
        <w:jc w:val="both"/>
        <w:rPr>
          <w:rFonts w:ascii="Cambria" w:hAnsi="Cambria"/>
          <w:sz w:val="24"/>
          <w:szCs w:val="24"/>
        </w:rPr>
      </w:pPr>
      <w:r w:rsidRPr="006B51A0">
        <w:rPr>
          <w:rFonts w:ascii="Cambria" w:hAnsi="Cambria"/>
        </w:rPr>
        <w:t>Que, alternativamente, deveria ser adotado o modelo de “item espelho”.</w:t>
      </w:r>
    </w:p>
    <w:p w14:paraId="6D17D4E8" w14:textId="77777777" w:rsidR="002B0810" w:rsidRPr="002B0810" w:rsidRDefault="002B0810" w:rsidP="002B0810">
      <w:pPr>
        <w:pStyle w:val="PargrafodaLista"/>
        <w:spacing w:line="360" w:lineRule="auto"/>
        <w:jc w:val="both"/>
        <w:rPr>
          <w:rFonts w:ascii="Cambria" w:hAnsi="Cambria"/>
          <w:sz w:val="24"/>
          <w:szCs w:val="24"/>
        </w:rPr>
      </w:pPr>
    </w:p>
    <w:p w14:paraId="48FD0A86" w14:textId="464FBDFE" w:rsidR="00565787" w:rsidRPr="002B0810" w:rsidRDefault="00565787" w:rsidP="00245B03">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2E2AA8C8" w14:textId="238EFFBB" w:rsidR="00565787" w:rsidRPr="00565787" w:rsidRDefault="006B51A0" w:rsidP="00245B03">
      <w:pPr>
        <w:pStyle w:val="PargrafodaLista"/>
        <w:numPr>
          <w:ilvl w:val="1"/>
          <w:numId w:val="1"/>
        </w:numPr>
        <w:spacing w:before="240" w:line="360" w:lineRule="auto"/>
        <w:jc w:val="both"/>
        <w:rPr>
          <w:rFonts w:ascii="Cambria" w:hAnsi="Cambria"/>
          <w:b/>
          <w:bCs/>
          <w:sz w:val="24"/>
          <w:szCs w:val="24"/>
        </w:rPr>
      </w:pPr>
      <w:r w:rsidRPr="006B51A0">
        <w:rPr>
          <w:rFonts w:ascii="Cambria" w:hAnsi="Cambria"/>
          <w:b/>
          <w:bCs/>
          <w:sz w:val="24"/>
          <w:szCs w:val="24"/>
        </w:rPr>
        <w:t>Da obrigatoriedade legal da exclusividade</w:t>
      </w:r>
      <w:r w:rsidRPr="002B0810">
        <w:rPr>
          <w:rFonts w:ascii="Cambria" w:hAnsi="Cambria"/>
          <w:b/>
          <w:bCs/>
          <w:sz w:val="24"/>
          <w:szCs w:val="24"/>
        </w:rPr>
        <w:t xml:space="preserve"> </w:t>
      </w:r>
    </w:p>
    <w:p w14:paraId="23F2FD1E" w14:textId="1140CB12" w:rsidR="006B51A0" w:rsidRPr="00565787" w:rsidRDefault="006B51A0" w:rsidP="00245B03">
      <w:pPr>
        <w:pStyle w:val="PargrafodaLista"/>
        <w:spacing w:line="360" w:lineRule="auto"/>
        <w:ind w:left="0" w:firstLine="708"/>
        <w:jc w:val="both"/>
        <w:rPr>
          <w:rFonts w:ascii="Cambria" w:hAnsi="Cambria"/>
          <w:sz w:val="24"/>
          <w:szCs w:val="24"/>
        </w:rPr>
      </w:pPr>
      <w:r w:rsidRPr="006B51A0">
        <w:rPr>
          <w:rFonts w:ascii="Cambria" w:hAnsi="Cambria"/>
          <w:sz w:val="24"/>
          <w:szCs w:val="24"/>
        </w:rPr>
        <w:t>O edital observou o disposto no art. 48, inciso I, da Lei Complementar nº 123/2006, que determina:</w:t>
      </w:r>
    </w:p>
    <w:p w14:paraId="0A4B06FB" w14:textId="67E1FCB6" w:rsidR="006B51A0" w:rsidRPr="006B51A0" w:rsidRDefault="006B51A0" w:rsidP="006B51A0">
      <w:pPr>
        <w:pStyle w:val="PargrafodaLista"/>
        <w:spacing w:line="360" w:lineRule="auto"/>
        <w:ind w:left="2268" w:hanging="1"/>
        <w:jc w:val="both"/>
        <w:rPr>
          <w:rFonts w:ascii="Cambria" w:hAnsi="Cambria"/>
          <w:sz w:val="20"/>
          <w:szCs w:val="20"/>
        </w:rPr>
      </w:pPr>
      <w:r>
        <w:rPr>
          <w:rFonts w:ascii="Cambria" w:hAnsi="Cambria"/>
          <w:sz w:val="20"/>
          <w:szCs w:val="20"/>
        </w:rPr>
        <w:t xml:space="preserve"> </w:t>
      </w:r>
      <w:r w:rsidRPr="006B51A0">
        <w:rPr>
          <w:rFonts w:ascii="Cambria" w:hAnsi="Cambria"/>
          <w:sz w:val="20"/>
          <w:szCs w:val="20"/>
        </w:rPr>
        <w:t>“Art. 48. Para o cumprimento do disposto no art. 47 desta Lei Complementar, a administração pública:</w:t>
      </w:r>
    </w:p>
    <w:p w14:paraId="093220F1" w14:textId="7B5786F9" w:rsidR="00565787" w:rsidRPr="00565787" w:rsidRDefault="006B51A0" w:rsidP="006B51A0">
      <w:pPr>
        <w:pStyle w:val="PargrafodaLista"/>
        <w:spacing w:line="360" w:lineRule="auto"/>
        <w:ind w:left="2268" w:hanging="1"/>
        <w:jc w:val="both"/>
        <w:rPr>
          <w:rFonts w:ascii="Cambria" w:hAnsi="Cambria"/>
          <w:sz w:val="20"/>
          <w:szCs w:val="20"/>
        </w:rPr>
      </w:pPr>
      <w:r w:rsidRPr="006B51A0">
        <w:rPr>
          <w:rFonts w:ascii="Cambria" w:hAnsi="Cambria"/>
          <w:sz w:val="20"/>
          <w:szCs w:val="20"/>
        </w:rPr>
        <w:t xml:space="preserve">I – </w:t>
      </w:r>
      <w:proofErr w:type="gramStart"/>
      <w:r w:rsidRPr="006B51A0">
        <w:rPr>
          <w:rFonts w:ascii="Cambria" w:hAnsi="Cambria"/>
          <w:sz w:val="20"/>
          <w:szCs w:val="20"/>
        </w:rPr>
        <w:t>deverá</w:t>
      </w:r>
      <w:proofErr w:type="gramEnd"/>
      <w:r w:rsidRPr="006B51A0">
        <w:rPr>
          <w:rFonts w:ascii="Cambria" w:hAnsi="Cambria"/>
          <w:sz w:val="20"/>
          <w:szCs w:val="20"/>
        </w:rPr>
        <w:t xml:space="preserve"> realizar processo licitatório destinado exclusivamente à participação de microempresas e empresas de pequeno porte nos itens de contratação cujo valor seja de até R$ 80.000,00.”</w:t>
      </w:r>
    </w:p>
    <w:p w14:paraId="19B73756" w14:textId="22DFA070" w:rsidR="006B51A0" w:rsidRPr="006B51A0" w:rsidRDefault="006B51A0" w:rsidP="006B51A0">
      <w:pPr>
        <w:spacing w:line="360" w:lineRule="auto"/>
        <w:ind w:firstLine="708"/>
        <w:jc w:val="both"/>
        <w:rPr>
          <w:rFonts w:ascii="Cambria" w:hAnsi="Cambria"/>
          <w:sz w:val="24"/>
          <w:szCs w:val="24"/>
        </w:rPr>
      </w:pPr>
      <w:r w:rsidRPr="006B51A0">
        <w:rPr>
          <w:rFonts w:ascii="Cambria" w:hAnsi="Cambria"/>
          <w:sz w:val="24"/>
          <w:szCs w:val="24"/>
        </w:rPr>
        <w:t xml:space="preserve">A utilização do verbo </w:t>
      </w:r>
      <w:r w:rsidRPr="006B51A0">
        <w:rPr>
          <w:rFonts w:ascii="Cambria" w:hAnsi="Cambria"/>
          <w:b/>
          <w:bCs/>
          <w:sz w:val="24"/>
          <w:szCs w:val="24"/>
        </w:rPr>
        <w:t>“deverá”</w:t>
      </w:r>
      <w:r w:rsidRPr="006B51A0">
        <w:rPr>
          <w:rFonts w:ascii="Cambria" w:hAnsi="Cambria"/>
          <w:sz w:val="24"/>
          <w:szCs w:val="24"/>
        </w:rPr>
        <w:t xml:space="preserve"> confere natureza vinculada à atuação administrativa, não se tratando de faculdade.</w:t>
      </w:r>
    </w:p>
    <w:p w14:paraId="4165E0E4" w14:textId="781AA0A8" w:rsidR="006B51A0" w:rsidRPr="006B51A0" w:rsidRDefault="006B51A0" w:rsidP="006B51A0">
      <w:pPr>
        <w:spacing w:line="360" w:lineRule="auto"/>
        <w:ind w:firstLine="708"/>
        <w:jc w:val="both"/>
        <w:rPr>
          <w:rFonts w:ascii="Cambria" w:hAnsi="Cambria"/>
          <w:sz w:val="24"/>
          <w:szCs w:val="24"/>
        </w:rPr>
      </w:pPr>
      <w:r w:rsidRPr="006B51A0">
        <w:rPr>
          <w:rFonts w:ascii="Cambria" w:hAnsi="Cambria"/>
          <w:sz w:val="24"/>
          <w:szCs w:val="24"/>
        </w:rPr>
        <w:t xml:space="preserve">A Lei nº 14.133/2021, em seus </w:t>
      </w:r>
      <w:proofErr w:type="spellStart"/>
      <w:r w:rsidRPr="006B51A0">
        <w:rPr>
          <w:rFonts w:ascii="Cambria" w:hAnsi="Cambria"/>
          <w:sz w:val="24"/>
          <w:szCs w:val="24"/>
        </w:rPr>
        <w:t>arts</w:t>
      </w:r>
      <w:proofErr w:type="spellEnd"/>
      <w:r w:rsidRPr="006B51A0">
        <w:rPr>
          <w:rFonts w:ascii="Cambria" w:hAnsi="Cambria"/>
          <w:sz w:val="24"/>
          <w:szCs w:val="24"/>
        </w:rPr>
        <w:t>. 4º e 5º, reafirma o dever de observância do tratamento favorecido às ME/EPP, em consonância com o art. 170, IX, da Constituição Federal.</w:t>
      </w:r>
    </w:p>
    <w:p w14:paraId="561E1BF4" w14:textId="7C71553B" w:rsidR="00565787" w:rsidRDefault="006B51A0" w:rsidP="006B51A0">
      <w:pPr>
        <w:spacing w:line="360" w:lineRule="auto"/>
        <w:ind w:firstLine="708"/>
        <w:jc w:val="both"/>
        <w:rPr>
          <w:rFonts w:ascii="Cambria" w:hAnsi="Cambria"/>
          <w:sz w:val="24"/>
          <w:szCs w:val="24"/>
        </w:rPr>
      </w:pPr>
      <w:r w:rsidRPr="006B51A0">
        <w:rPr>
          <w:rFonts w:ascii="Cambria" w:hAnsi="Cambria"/>
          <w:sz w:val="24"/>
          <w:szCs w:val="24"/>
        </w:rPr>
        <w:t>Portanto, quando o valor do item é inferior a R$ 80.000,00, a regra é a exclusividade, salvo ocorrência das hipóteses excepcionais do art. 49 da LC nº 123/2006.</w:t>
      </w:r>
      <w:r w:rsidR="00F319D4">
        <w:rPr>
          <w:rFonts w:ascii="Cambria" w:hAnsi="Cambria"/>
          <w:sz w:val="24"/>
          <w:szCs w:val="24"/>
        </w:rPr>
        <w:t xml:space="preserve"> </w:t>
      </w:r>
    </w:p>
    <w:p w14:paraId="5C3C82D0" w14:textId="58DB8058" w:rsidR="00DD1DD9" w:rsidRDefault="006B51A0" w:rsidP="00DD1DD9">
      <w:pPr>
        <w:pStyle w:val="PargrafodaLista"/>
        <w:numPr>
          <w:ilvl w:val="1"/>
          <w:numId w:val="1"/>
        </w:numPr>
        <w:spacing w:before="240" w:line="360" w:lineRule="auto"/>
        <w:jc w:val="both"/>
        <w:rPr>
          <w:rFonts w:ascii="Cambria" w:hAnsi="Cambria"/>
          <w:b/>
          <w:bCs/>
          <w:sz w:val="24"/>
          <w:szCs w:val="24"/>
        </w:rPr>
      </w:pPr>
      <w:r w:rsidRPr="006B51A0">
        <w:rPr>
          <w:rFonts w:ascii="Cambria" w:hAnsi="Cambria"/>
          <w:b/>
          <w:bCs/>
          <w:sz w:val="24"/>
          <w:szCs w:val="24"/>
        </w:rPr>
        <w:t>Da alegação de inexistência de três fornecedores competitivos (art. 49, II)</w:t>
      </w:r>
    </w:p>
    <w:p w14:paraId="1F720E20"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impugnante sustenta que não haveria ao menos três fornecedores competitivos enquadrados como ME/EPP.</w:t>
      </w:r>
    </w:p>
    <w:p w14:paraId="75949745"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lastRenderedPageBreak/>
        <w:t>Entretanto, na fase de planejamento da contratação, em cumprimento ao art. 18 da Lei nº 14.133/2021, o setor técnico realizou levantamento de mercado específico para verificar a aplicabilidade do tratamento diferenciado.</w:t>
      </w:r>
    </w:p>
    <w:p w14:paraId="607C345D"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 xml:space="preserve">Conforme consta nos autos do processo administrativo, houve comprovação formal da existência de pelo menos 03 (três) empresas enquadradas como ME, EPP ou MEI, sediadas local ou regionalmente, atuantes no mesmo ramo do objeto e aptas a cumprir as exigências </w:t>
      </w:r>
      <w:proofErr w:type="spellStart"/>
      <w:r w:rsidRPr="001B28B6">
        <w:rPr>
          <w:rFonts w:ascii="Cambria" w:hAnsi="Cambria"/>
          <w:sz w:val="24"/>
          <w:szCs w:val="24"/>
        </w:rPr>
        <w:t>editalícias</w:t>
      </w:r>
      <w:proofErr w:type="spellEnd"/>
      <w:r w:rsidRPr="001B28B6">
        <w:rPr>
          <w:rFonts w:ascii="Cambria" w:hAnsi="Cambria"/>
          <w:sz w:val="24"/>
          <w:szCs w:val="24"/>
        </w:rPr>
        <w:t>.</w:t>
      </w:r>
    </w:p>
    <w:p w14:paraId="17F1CF32"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Assim, encontra-se plenamente atendido o requisito do art. 49, inciso II, da LC nº 123/2006.</w:t>
      </w:r>
    </w:p>
    <w:p w14:paraId="32A66ADC"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alegação da impugnante é genérica e não veio acompanhada de qualquer prova concreta capaz de afastar o levantamento técnico realizado pela Administração.</w:t>
      </w:r>
    </w:p>
    <w:p w14:paraId="355E4E84"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jurisprudência do Tribunal de Contas da União é firme no sentido de que a não aplicação do tratamento diferenciado exige motivação técnica específica e demonstração concreta das hipóteses excepcionais, o que não se verifica no presente caso.</w:t>
      </w:r>
    </w:p>
    <w:p w14:paraId="755C2B3E" w14:textId="29E08DA9" w:rsidR="006863CC" w:rsidRDefault="001B28B6" w:rsidP="006863CC">
      <w:pPr>
        <w:pStyle w:val="PargrafodaLista"/>
        <w:numPr>
          <w:ilvl w:val="1"/>
          <w:numId w:val="1"/>
        </w:numPr>
        <w:spacing w:before="240" w:line="360" w:lineRule="auto"/>
        <w:jc w:val="both"/>
        <w:rPr>
          <w:rFonts w:ascii="Cambria" w:hAnsi="Cambria"/>
          <w:b/>
          <w:bCs/>
          <w:sz w:val="24"/>
          <w:szCs w:val="24"/>
        </w:rPr>
      </w:pPr>
      <w:r w:rsidRPr="001B28B6">
        <w:rPr>
          <w:rFonts w:ascii="Cambria" w:hAnsi="Cambria"/>
          <w:b/>
          <w:bCs/>
          <w:sz w:val="24"/>
          <w:szCs w:val="24"/>
        </w:rPr>
        <w:t>Da alegação de ausência de vantajosidade (art. 49, III)</w:t>
      </w:r>
    </w:p>
    <w:p w14:paraId="18C30CE7"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impugnante argumenta que a exclusividade poderia resultar em contratação mais onerosa ou em fracasso do certame.</w:t>
      </w:r>
    </w:p>
    <w:p w14:paraId="0DD2A6E1"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Todavia, a vantajosidade é aferida na fase de julgamento das propostas. A eventual inexistência de propostas válidas ou vantajosas pode ensejar:</w:t>
      </w:r>
    </w:p>
    <w:p w14:paraId="6558B89D" w14:textId="77777777" w:rsidR="001B28B6" w:rsidRPr="001B28B6" w:rsidRDefault="001B28B6" w:rsidP="001B28B6">
      <w:pPr>
        <w:pStyle w:val="PargrafodaLista"/>
        <w:numPr>
          <w:ilvl w:val="0"/>
          <w:numId w:val="7"/>
        </w:numPr>
        <w:spacing w:line="360" w:lineRule="auto"/>
        <w:jc w:val="both"/>
        <w:rPr>
          <w:rFonts w:ascii="Cambria" w:hAnsi="Cambria"/>
          <w:sz w:val="24"/>
          <w:szCs w:val="24"/>
        </w:rPr>
      </w:pPr>
      <w:r w:rsidRPr="001B28B6">
        <w:rPr>
          <w:rFonts w:ascii="Cambria" w:hAnsi="Cambria"/>
          <w:sz w:val="24"/>
          <w:szCs w:val="24"/>
        </w:rPr>
        <w:t>Declaração de item fracassado;</w:t>
      </w:r>
    </w:p>
    <w:p w14:paraId="17AF45B1" w14:textId="77777777" w:rsidR="001B28B6" w:rsidRPr="001B28B6" w:rsidRDefault="001B28B6" w:rsidP="001B28B6">
      <w:pPr>
        <w:pStyle w:val="PargrafodaLista"/>
        <w:numPr>
          <w:ilvl w:val="0"/>
          <w:numId w:val="7"/>
        </w:numPr>
        <w:spacing w:line="360" w:lineRule="auto"/>
        <w:jc w:val="both"/>
        <w:rPr>
          <w:rFonts w:ascii="Cambria" w:hAnsi="Cambria"/>
          <w:sz w:val="24"/>
          <w:szCs w:val="24"/>
        </w:rPr>
      </w:pPr>
      <w:r w:rsidRPr="001B28B6">
        <w:rPr>
          <w:rFonts w:ascii="Cambria" w:hAnsi="Cambria"/>
          <w:sz w:val="24"/>
          <w:szCs w:val="24"/>
        </w:rPr>
        <w:t>Realização de nova licitação em regime de ampla concorrência.</w:t>
      </w:r>
    </w:p>
    <w:p w14:paraId="3A1144EF"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mera possibilidade abstrata de fracasso não autoriza afastar política pública expressamente prevista em lei.</w:t>
      </w:r>
    </w:p>
    <w:p w14:paraId="438E500D" w14:textId="4D294A1E" w:rsid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lastRenderedPageBreak/>
        <w:t>A exclusividade às ME/EPP é instrumento de desenvolvimento econômico e constitui comando normativo vinculante.</w:t>
      </w:r>
    </w:p>
    <w:p w14:paraId="440D33C5" w14:textId="7175956A" w:rsidR="001B28B6" w:rsidRPr="001B28B6" w:rsidRDefault="001B28B6" w:rsidP="001B28B6">
      <w:pPr>
        <w:pStyle w:val="PargrafodaLista"/>
        <w:numPr>
          <w:ilvl w:val="1"/>
          <w:numId w:val="1"/>
        </w:numPr>
        <w:spacing w:before="240" w:line="360" w:lineRule="auto"/>
        <w:jc w:val="both"/>
        <w:rPr>
          <w:rFonts w:ascii="Cambria" w:hAnsi="Cambria"/>
          <w:sz w:val="24"/>
          <w:szCs w:val="24"/>
        </w:rPr>
      </w:pPr>
      <w:r w:rsidRPr="001B28B6">
        <w:rPr>
          <w:rFonts w:ascii="Cambria" w:hAnsi="Cambria"/>
          <w:b/>
          <w:bCs/>
          <w:sz w:val="24"/>
          <w:szCs w:val="24"/>
        </w:rPr>
        <w:t>Do modelo de “item espelho”</w:t>
      </w:r>
    </w:p>
    <w:p w14:paraId="1B62B05B"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adoção do modelo de “item espelho” constitui técnica gerencial possível, mas não obrigatória.</w:t>
      </w:r>
    </w:p>
    <w:p w14:paraId="3414518D"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Não há previsão legal expressa que imponha sua utilização, tampouco entendimento vinculante dos Tribunais de Contas que determine sua adoção.</w:t>
      </w:r>
    </w:p>
    <w:p w14:paraId="0A89546F" w14:textId="77777777" w:rsidR="001B28B6" w:rsidRPr="001B28B6" w:rsidRDefault="001B28B6" w:rsidP="001B28B6">
      <w:pPr>
        <w:spacing w:line="360" w:lineRule="auto"/>
        <w:ind w:firstLine="708"/>
        <w:jc w:val="both"/>
        <w:rPr>
          <w:rFonts w:ascii="Cambria" w:hAnsi="Cambria"/>
          <w:sz w:val="24"/>
          <w:szCs w:val="24"/>
        </w:rPr>
      </w:pPr>
      <w:r w:rsidRPr="001B28B6">
        <w:rPr>
          <w:rFonts w:ascii="Cambria" w:hAnsi="Cambria"/>
          <w:sz w:val="24"/>
          <w:szCs w:val="24"/>
        </w:rPr>
        <w:t>A Administração Pública observou estritamente a regra legal prevista no art. 48 da LC nº 123/2006, inexistindo ilegalidade na ausência de duplicação de itens.</w:t>
      </w:r>
    </w:p>
    <w:p w14:paraId="2973244F" w14:textId="44D69FE1" w:rsidR="001B28B6" w:rsidRDefault="007E2798" w:rsidP="007E2798">
      <w:pPr>
        <w:pStyle w:val="PargrafodaLista"/>
        <w:numPr>
          <w:ilvl w:val="1"/>
          <w:numId w:val="1"/>
        </w:numPr>
        <w:spacing w:before="240" w:line="360" w:lineRule="auto"/>
        <w:jc w:val="both"/>
        <w:rPr>
          <w:rFonts w:ascii="Cambria" w:hAnsi="Cambria"/>
          <w:b/>
          <w:bCs/>
          <w:sz w:val="24"/>
          <w:szCs w:val="24"/>
        </w:rPr>
      </w:pPr>
      <w:r w:rsidRPr="007E2798">
        <w:rPr>
          <w:rFonts w:ascii="Cambria" w:hAnsi="Cambria"/>
          <w:b/>
          <w:bCs/>
          <w:sz w:val="24"/>
          <w:szCs w:val="24"/>
        </w:rPr>
        <w:t>Dos princípios da competitividade e economicidade</w:t>
      </w:r>
    </w:p>
    <w:p w14:paraId="4BD9F85F" w14:textId="77777777" w:rsidR="007E2798" w:rsidRPr="007E2798" w:rsidRDefault="007E2798" w:rsidP="007E2798">
      <w:pPr>
        <w:spacing w:line="360" w:lineRule="auto"/>
        <w:ind w:firstLine="708"/>
        <w:jc w:val="both"/>
        <w:rPr>
          <w:rFonts w:ascii="Cambria" w:hAnsi="Cambria"/>
          <w:sz w:val="24"/>
          <w:szCs w:val="24"/>
        </w:rPr>
      </w:pPr>
      <w:r w:rsidRPr="007E2798">
        <w:rPr>
          <w:rFonts w:ascii="Cambria" w:hAnsi="Cambria"/>
          <w:sz w:val="24"/>
          <w:szCs w:val="24"/>
        </w:rPr>
        <w:t>O art. 5º da Lei nº 14.133/2021 estabelece os princípios da legalidade, isonomia, competitividade e desenvolvimento nacional sustentável.</w:t>
      </w:r>
    </w:p>
    <w:p w14:paraId="041A303A" w14:textId="77777777" w:rsidR="007E2798" w:rsidRPr="007E2798" w:rsidRDefault="007E2798" w:rsidP="007E2798">
      <w:pPr>
        <w:spacing w:line="360" w:lineRule="auto"/>
        <w:ind w:firstLine="708"/>
        <w:jc w:val="both"/>
        <w:rPr>
          <w:rFonts w:ascii="Cambria" w:hAnsi="Cambria"/>
          <w:sz w:val="24"/>
          <w:szCs w:val="24"/>
        </w:rPr>
      </w:pPr>
      <w:r w:rsidRPr="007E2798">
        <w:rPr>
          <w:rFonts w:ascii="Cambria" w:hAnsi="Cambria"/>
          <w:sz w:val="24"/>
          <w:szCs w:val="24"/>
        </w:rPr>
        <w:t>O tratamento diferenciado às ME/EPP é expressão direta desses princípios e decorre de política pública constitucional.</w:t>
      </w:r>
    </w:p>
    <w:p w14:paraId="7BB8E121" w14:textId="77777777" w:rsidR="007E2798" w:rsidRPr="007E2798" w:rsidRDefault="007E2798" w:rsidP="007E2798">
      <w:pPr>
        <w:spacing w:line="360" w:lineRule="auto"/>
        <w:ind w:firstLine="708"/>
        <w:jc w:val="both"/>
        <w:rPr>
          <w:rFonts w:ascii="Cambria" w:hAnsi="Cambria"/>
          <w:sz w:val="24"/>
          <w:szCs w:val="24"/>
        </w:rPr>
      </w:pPr>
      <w:r w:rsidRPr="007E2798">
        <w:rPr>
          <w:rFonts w:ascii="Cambria" w:hAnsi="Cambria"/>
          <w:sz w:val="24"/>
          <w:szCs w:val="24"/>
        </w:rPr>
        <w:t>A exclusividade prevista em lei:</w:t>
      </w:r>
    </w:p>
    <w:p w14:paraId="2192F4C7" w14:textId="77777777" w:rsidR="007E2798" w:rsidRDefault="007E2798" w:rsidP="007E2798">
      <w:pPr>
        <w:pStyle w:val="PargrafodaLista"/>
        <w:numPr>
          <w:ilvl w:val="0"/>
          <w:numId w:val="8"/>
        </w:numPr>
        <w:spacing w:line="360" w:lineRule="auto"/>
        <w:jc w:val="both"/>
        <w:rPr>
          <w:rFonts w:ascii="Cambria" w:hAnsi="Cambria"/>
          <w:sz w:val="24"/>
          <w:szCs w:val="24"/>
        </w:rPr>
      </w:pPr>
      <w:r w:rsidRPr="007E2798">
        <w:rPr>
          <w:rFonts w:ascii="Cambria" w:hAnsi="Cambria"/>
          <w:sz w:val="24"/>
          <w:szCs w:val="24"/>
        </w:rPr>
        <w:t>Não viola competitividade;</w:t>
      </w:r>
    </w:p>
    <w:p w14:paraId="30663A2F" w14:textId="77777777" w:rsidR="007E2798" w:rsidRDefault="007E2798" w:rsidP="007E2798">
      <w:pPr>
        <w:pStyle w:val="PargrafodaLista"/>
        <w:numPr>
          <w:ilvl w:val="0"/>
          <w:numId w:val="8"/>
        </w:numPr>
        <w:spacing w:line="360" w:lineRule="auto"/>
        <w:jc w:val="both"/>
        <w:rPr>
          <w:rFonts w:ascii="Cambria" w:hAnsi="Cambria"/>
          <w:sz w:val="24"/>
          <w:szCs w:val="24"/>
        </w:rPr>
      </w:pPr>
      <w:r w:rsidRPr="007E2798">
        <w:rPr>
          <w:rFonts w:ascii="Cambria" w:hAnsi="Cambria"/>
          <w:sz w:val="24"/>
          <w:szCs w:val="24"/>
        </w:rPr>
        <w:t>Não restringe ilegalmente o mercado;</w:t>
      </w:r>
    </w:p>
    <w:p w14:paraId="4BEFA409" w14:textId="77777777" w:rsidR="007E2798" w:rsidRDefault="007E2798" w:rsidP="007E2798">
      <w:pPr>
        <w:pStyle w:val="PargrafodaLista"/>
        <w:numPr>
          <w:ilvl w:val="0"/>
          <w:numId w:val="8"/>
        </w:numPr>
        <w:spacing w:line="360" w:lineRule="auto"/>
        <w:jc w:val="both"/>
        <w:rPr>
          <w:rFonts w:ascii="Cambria" w:hAnsi="Cambria"/>
          <w:sz w:val="24"/>
          <w:szCs w:val="24"/>
        </w:rPr>
      </w:pPr>
      <w:r w:rsidRPr="007E2798">
        <w:rPr>
          <w:rFonts w:ascii="Cambria" w:hAnsi="Cambria"/>
          <w:sz w:val="24"/>
          <w:szCs w:val="24"/>
        </w:rPr>
        <w:t>Não compromete a economicidade;</w:t>
      </w:r>
    </w:p>
    <w:p w14:paraId="7EA1BACD" w14:textId="126BC84B" w:rsidR="007E2798" w:rsidRPr="007E2798" w:rsidRDefault="007E2798" w:rsidP="007E2798">
      <w:pPr>
        <w:pStyle w:val="PargrafodaLista"/>
        <w:numPr>
          <w:ilvl w:val="0"/>
          <w:numId w:val="8"/>
        </w:numPr>
        <w:spacing w:line="360" w:lineRule="auto"/>
        <w:jc w:val="both"/>
        <w:rPr>
          <w:rFonts w:ascii="Cambria" w:hAnsi="Cambria"/>
          <w:sz w:val="24"/>
          <w:szCs w:val="24"/>
        </w:rPr>
      </w:pPr>
      <w:r w:rsidRPr="007E2798">
        <w:rPr>
          <w:rFonts w:ascii="Cambria" w:hAnsi="Cambria"/>
          <w:sz w:val="24"/>
          <w:szCs w:val="24"/>
        </w:rPr>
        <w:t>Representa cumprimento de comando legislativo obrigatório.</w:t>
      </w:r>
    </w:p>
    <w:p w14:paraId="26A74452" w14:textId="77777777" w:rsidR="001B28B6" w:rsidRDefault="001B28B6" w:rsidP="001B28B6">
      <w:pPr>
        <w:pStyle w:val="PargrafodaLista"/>
        <w:spacing w:before="240" w:line="360" w:lineRule="auto"/>
        <w:ind w:left="1080"/>
        <w:jc w:val="both"/>
        <w:rPr>
          <w:rFonts w:ascii="Cambria" w:hAnsi="Cambria"/>
          <w:b/>
          <w:bCs/>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72DF6F7F" w14:textId="55819E1F" w:rsidR="007E2798" w:rsidRDefault="000D19BB" w:rsidP="007E2798">
      <w:pPr>
        <w:pStyle w:val="Default"/>
        <w:spacing w:line="360" w:lineRule="auto"/>
        <w:ind w:firstLine="709"/>
        <w:jc w:val="both"/>
        <w:rPr>
          <w:rFonts w:ascii="Cambria" w:hAnsi="Cambria"/>
          <w:color w:val="auto"/>
          <w:shd w:val="clear" w:color="auto" w:fill="FFFFFF"/>
          <w:lang w:val="pt-PT"/>
        </w:rPr>
      </w:pPr>
      <w:r w:rsidRPr="000D19BB">
        <w:rPr>
          <w:rFonts w:ascii="Cambria" w:hAnsi="Cambria"/>
          <w:color w:val="auto"/>
          <w:shd w:val="clear" w:color="auto" w:fill="FFFFFF"/>
          <w:lang w:val="pt-PT"/>
        </w:rPr>
        <w:t xml:space="preserve">Ante o exposto, recebo a Impugnação apresentada pela </w:t>
      </w:r>
      <w:r w:rsidR="007E2798">
        <w:rPr>
          <w:rFonts w:ascii="Cambria" w:hAnsi="Cambria"/>
          <w:color w:val="auto"/>
          <w:shd w:val="clear" w:color="auto" w:fill="FFFFFF"/>
          <w:lang w:val="pt-PT"/>
        </w:rPr>
        <w:t>pessoa física</w:t>
      </w:r>
      <w:r w:rsidRPr="000D19BB">
        <w:rPr>
          <w:rFonts w:ascii="Cambria" w:hAnsi="Cambria"/>
          <w:color w:val="auto"/>
          <w:shd w:val="clear" w:color="auto" w:fill="FFFFFF"/>
          <w:lang w:val="pt-PT"/>
        </w:rPr>
        <w:t xml:space="preserve"> </w:t>
      </w:r>
      <w:r w:rsidR="007E2798" w:rsidRPr="007E2798">
        <w:rPr>
          <w:rFonts w:ascii="Cambria" w:hAnsi="Cambria"/>
          <w:b/>
          <w:bCs/>
          <w:color w:val="auto"/>
          <w:shd w:val="clear" w:color="auto" w:fill="FFFFFF"/>
          <w:lang w:val="pt-PT"/>
        </w:rPr>
        <w:t>MARIA RITA SILVA CANTARELI</w:t>
      </w:r>
      <w:r>
        <w:rPr>
          <w:rFonts w:ascii="Cambria" w:hAnsi="Cambria"/>
          <w:b/>
          <w:bCs/>
          <w:color w:val="auto"/>
          <w:shd w:val="clear" w:color="auto" w:fill="FFFFFF"/>
          <w:lang w:val="pt-PT"/>
        </w:rPr>
        <w:t>,</w:t>
      </w:r>
      <w:r>
        <w:rPr>
          <w:rFonts w:ascii="Cambria" w:hAnsi="Cambria"/>
          <w:color w:val="auto"/>
          <w:shd w:val="clear" w:color="auto" w:fill="FFFFFF"/>
          <w:lang w:val="pt-PT"/>
        </w:rPr>
        <w:t xml:space="preserve"> </w:t>
      </w:r>
      <w:r w:rsidR="007E2798" w:rsidRPr="008B0ADF">
        <w:rPr>
          <w:rFonts w:ascii="Cambria" w:hAnsi="Cambria"/>
          <w:color w:val="auto"/>
          <w:shd w:val="clear" w:color="auto" w:fill="FFFFFF"/>
          <w:lang w:val="pt-PT"/>
        </w:rPr>
        <w:t xml:space="preserve">e, no mérito, </w:t>
      </w:r>
      <w:r w:rsidR="007E2798" w:rsidRPr="008B0ADF">
        <w:rPr>
          <w:rFonts w:ascii="Cambria" w:hAnsi="Cambria"/>
          <w:b/>
          <w:bCs/>
          <w:color w:val="auto"/>
          <w:shd w:val="clear" w:color="auto" w:fill="FFFFFF"/>
          <w:lang w:val="pt-PT"/>
        </w:rPr>
        <w:t>INDEFIRO</w:t>
      </w:r>
      <w:r w:rsidR="007E2798">
        <w:rPr>
          <w:rFonts w:ascii="Cambria" w:hAnsi="Cambria"/>
          <w:b/>
          <w:bCs/>
          <w:color w:val="auto"/>
          <w:shd w:val="clear" w:color="auto" w:fill="FFFFFF"/>
          <w:lang w:val="pt-PT"/>
        </w:rPr>
        <w:t xml:space="preserve"> INTEGRALMENTE</w:t>
      </w:r>
      <w:r w:rsidR="007E2798" w:rsidRPr="008B0ADF">
        <w:rPr>
          <w:rFonts w:ascii="Cambria" w:hAnsi="Cambria"/>
          <w:color w:val="auto"/>
          <w:shd w:val="clear" w:color="auto" w:fill="FFFFFF"/>
          <w:lang w:val="pt-PT"/>
        </w:rPr>
        <w:t xml:space="preserve"> os argumentos expendidos, por não restar demonstrada qualquer irregularidade nas </w:t>
      </w:r>
      <w:r w:rsidR="007E2798" w:rsidRPr="008B0ADF">
        <w:rPr>
          <w:rFonts w:ascii="Cambria" w:hAnsi="Cambria"/>
          <w:color w:val="auto"/>
          <w:shd w:val="clear" w:color="auto" w:fill="FFFFFF"/>
          <w:lang w:val="pt-PT"/>
        </w:rPr>
        <w:lastRenderedPageBreak/>
        <w:t>disposições do edital. Mantêm-se íntegras e válidas as cláusulas e condições presentes no Edital</w:t>
      </w:r>
      <w:r w:rsidR="007E2798">
        <w:rPr>
          <w:rFonts w:ascii="Cambria" w:hAnsi="Cambria"/>
          <w:color w:val="auto"/>
          <w:shd w:val="clear" w:color="auto" w:fill="FFFFFF"/>
          <w:lang w:val="pt-PT"/>
        </w:rPr>
        <w:t xml:space="preserve"> que a empresa impugnou</w:t>
      </w:r>
      <w:r w:rsidR="007E2798" w:rsidRPr="008B0ADF">
        <w:rPr>
          <w:rFonts w:ascii="Cambria" w:hAnsi="Cambria"/>
          <w:color w:val="auto"/>
          <w:shd w:val="clear" w:color="auto" w:fill="FFFFFF"/>
          <w:lang w:val="pt-PT"/>
        </w:rPr>
        <w:t>.</w:t>
      </w:r>
    </w:p>
    <w:p w14:paraId="70BA19E5" w14:textId="00C5428B" w:rsidR="000D19BB" w:rsidRPr="000D19BB" w:rsidRDefault="000D19BB" w:rsidP="000D19BB">
      <w:pPr>
        <w:pStyle w:val="Default"/>
        <w:spacing w:line="360" w:lineRule="auto"/>
        <w:ind w:firstLine="709"/>
        <w:jc w:val="both"/>
        <w:rPr>
          <w:rFonts w:ascii="Cambria" w:hAnsi="Cambria"/>
          <w:color w:val="auto"/>
          <w:shd w:val="clear" w:color="auto" w:fill="FFFFFF"/>
          <w:lang w:val="pt-PT"/>
        </w:rPr>
      </w:pPr>
    </w:p>
    <w:p w14:paraId="74259114" w14:textId="77777777" w:rsidR="006863CC" w:rsidRDefault="006863CC" w:rsidP="000D19BB">
      <w:pPr>
        <w:spacing w:before="240"/>
        <w:jc w:val="right"/>
        <w:rPr>
          <w:rFonts w:ascii="Cambria" w:hAnsi="Cambria" w:cs="Times New Roman"/>
          <w:bCs/>
          <w:iCs/>
          <w:sz w:val="24"/>
          <w:szCs w:val="24"/>
        </w:rPr>
      </w:pPr>
    </w:p>
    <w:p w14:paraId="12EDC9C0" w14:textId="5B26E09D" w:rsidR="000D19BB" w:rsidRPr="000D19BB" w:rsidRDefault="000D19BB" w:rsidP="000D19BB">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7E2798">
        <w:rPr>
          <w:rFonts w:ascii="Cambria" w:hAnsi="Cambria" w:cs="Times New Roman"/>
          <w:bCs/>
          <w:iCs/>
          <w:sz w:val="24"/>
          <w:szCs w:val="24"/>
        </w:rPr>
        <w:t>12 de fevereiro</w:t>
      </w:r>
      <w:r w:rsidRPr="000D19BB">
        <w:rPr>
          <w:rFonts w:ascii="Cambria" w:hAnsi="Cambria" w:cs="Times New Roman"/>
          <w:bCs/>
          <w:iCs/>
          <w:sz w:val="24"/>
          <w:szCs w:val="24"/>
        </w:rPr>
        <w:t xml:space="preserve"> de 202</w:t>
      </w:r>
      <w:r w:rsidR="007E2798">
        <w:rPr>
          <w:rFonts w:ascii="Cambria" w:hAnsi="Cambria" w:cs="Times New Roman"/>
          <w:bCs/>
          <w:iCs/>
          <w:sz w:val="24"/>
          <w:szCs w:val="24"/>
        </w:rPr>
        <w:t>6</w:t>
      </w:r>
      <w:r w:rsidRPr="000D19BB">
        <w:rPr>
          <w:rFonts w:ascii="Cambria" w:hAnsi="Cambria" w:cs="Times New Roman"/>
          <w:bCs/>
          <w:iCs/>
          <w:sz w:val="24"/>
          <w:szCs w:val="24"/>
        </w:rPr>
        <w:t>.</w:t>
      </w:r>
    </w:p>
    <w:p w14:paraId="476177A2" w14:textId="2C5892A1" w:rsidR="000D19BB" w:rsidRDefault="000D19BB" w:rsidP="000D19BB">
      <w:pPr>
        <w:pStyle w:val="Corpodetexto"/>
        <w:spacing w:before="240"/>
        <w:jc w:val="both"/>
        <w:rPr>
          <w:rFonts w:ascii="Cambria" w:hAnsi="Cambria" w:cs="Times New Roman"/>
          <w:b/>
          <w:i/>
        </w:rPr>
      </w:pPr>
    </w:p>
    <w:p w14:paraId="5CFDFD5C" w14:textId="77777777" w:rsidR="00245B03" w:rsidRPr="000D19BB" w:rsidRDefault="00245B03" w:rsidP="000D19BB">
      <w:pPr>
        <w:pStyle w:val="Corpodetexto"/>
        <w:spacing w:before="240"/>
        <w:jc w:val="both"/>
        <w:rPr>
          <w:rFonts w:ascii="Cambria" w:hAnsi="Cambria" w:cs="Times New Roman"/>
          <w:b/>
          <w:i/>
        </w:rPr>
      </w:pPr>
    </w:p>
    <w:p w14:paraId="42A31409" w14:textId="77777777" w:rsidR="000D19BB" w:rsidRPr="000D19BB" w:rsidRDefault="000D19BB" w:rsidP="000D19BB">
      <w:pPr>
        <w:pStyle w:val="Corpodetexto"/>
        <w:spacing w:before="240"/>
        <w:jc w:val="both"/>
        <w:rPr>
          <w:rFonts w:ascii="Cambria" w:hAnsi="Cambria" w:cs="Times New Roman"/>
          <w:b/>
          <w:i/>
        </w:rPr>
      </w:pPr>
    </w:p>
    <w:p w14:paraId="054470E5" w14:textId="77777777" w:rsidR="000D19BB" w:rsidRPr="000D19BB" w:rsidRDefault="000D19BB"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2F4D3526" w14:textId="77777777" w:rsidR="000D19BB" w:rsidRPr="000D19BB" w:rsidRDefault="000D19BB" w:rsidP="000D19BB">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p w14:paraId="0EBF5F59" w14:textId="77777777" w:rsidR="000D19BB" w:rsidRPr="00A81304" w:rsidRDefault="000D19BB" w:rsidP="000D19BB">
      <w:pPr>
        <w:spacing w:line="360" w:lineRule="auto"/>
        <w:ind w:firstLine="709"/>
        <w:jc w:val="both"/>
        <w:rPr>
          <w:rFonts w:ascii="Cambria" w:hAnsi="Cambria"/>
          <w:sz w:val="24"/>
          <w:szCs w:val="24"/>
        </w:rPr>
      </w:pPr>
    </w:p>
    <w:sectPr w:rsidR="000D19BB" w:rsidRPr="00A8130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7E2E8" w14:textId="77777777" w:rsidR="00711A18" w:rsidRDefault="00711A18" w:rsidP="00510D4F">
      <w:pPr>
        <w:spacing w:after="0" w:line="240" w:lineRule="auto"/>
      </w:pPr>
      <w:r>
        <w:separator/>
      </w:r>
    </w:p>
  </w:endnote>
  <w:endnote w:type="continuationSeparator" w:id="0">
    <w:p w14:paraId="166033DE" w14:textId="77777777" w:rsidR="00711A18" w:rsidRDefault="00711A18"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skervilleTMe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C4C113" w14:textId="77777777" w:rsidR="00711A18" w:rsidRDefault="00711A18" w:rsidP="00510D4F">
      <w:pPr>
        <w:spacing w:after="0" w:line="240" w:lineRule="auto"/>
      </w:pPr>
      <w:r>
        <w:separator/>
      </w:r>
    </w:p>
  </w:footnote>
  <w:footnote w:type="continuationSeparator" w:id="0">
    <w:p w14:paraId="75BA3843" w14:textId="77777777" w:rsidR="00711A18" w:rsidRDefault="00711A18"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32405689"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320D6B88"/>
    <w:multiLevelType w:val="hybridMultilevel"/>
    <w:tmpl w:val="342C070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15:restartNumberingAfterBreak="0">
    <w:nsid w:val="35A111F2"/>
    <w:multiLevelType w:val="hybridMultilevel"/>
    <w:tmpl w:val="34D8A92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3AF80130"/>
    <w:multiLevelType w:val="multilevel"/>
    <w:tmpl w:val="5824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CF62CB"/>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A707A1"/>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7"/>
  </w:num>
  <w:num w:numId="3">
    <w:abstractNumId w:val="6"/>
  </w:num>
  <w:num w:numId="4">
    <w:abstractNumId w:val="4"/>
  </w:num>
  <w:num w:numId="5">
    <w:abstractNumId w:val="5"/>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0421C"/>
    <w:rsid w:val="00056017"/>
    <w:rsid w:val="000D19BB"/>
    <w:rsid w:val="001B28B6"/>
    <w:rsid w:val="001F7F98"/>
    <w:rsid w:val="00230A18"/>
    <w:rsid w:val="00245B03"/>
    <w:rsid w:val="002A34F5"/>
    <w:rsid w:val="002B0810"/>
    <w:rsid w:val="004A24D3"/>
    <w:rsid w:val="00510D4F"/>
    <w:rsid w:val="00565787"/>
    <w:rsid w:val="006863CC"/>
    <w:rsid w:val="006B51A0"/>
    <w:rsid w:val="00711A18"/>
    <w:rsid w:val="007E2798"/>
    <w:rsid w:val="00941586"/>
    <w:rsid w:val="00A41D3F"/>
    <w:rsid w:val="00A81304"/>
    <w:rsid w:val="00DD1DD9"/>
    <w:rsid w:val="00E77B9E"/>
    <w:rsid w:val="00F319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9335756">
      <w:bodyDiv w:val="1"/>
      <w:marLeft w:val="0"/>
      <w:marRight w:val="0"/>
      <w:marTop w:val="0"/>
      <w:marBottom w:val="0"/>
      <w:divBdr>
        <w:top w:val="none" w:sz="0" w:space="0" w:color="auto"/>
        <w:left w:val="none" w:sz="0" w:space="0" w:color="auto"/>
        <w:bottom w:val="none" w:sz="0" w:space="0" w:color="auto"/>
        <w:right w:val="none" w:sz="0" w:space="0" w:color="auto"/>
      </w:divBdr>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1271013580">
      <w:bodyDiv w:val="1"/>
      <w:marLeft w:val="0"/>
      <w:marRight w:val="0"/>
      <w:marTop w:val="0"/>
      <w:marBottom w:val="0"/>
      <w:divBdr>
        <w:top w:val="none" w:sz="0" w:space="0" w:color="auto"/>
        <w:left w:val="none" w:sz="0" w:space="0" w:color="auto"/>
        <w:bottom w:val="none" w:sz="0" w:space="0" w:color="auto"/>
        <w:right w:val="none" w:sz="0" w:space="0" w:color="auto"/>
      </w:divBdr>
    </w:div>
    <w:div w:id="1302926680">
      <w:bodyDiv w:val="1"/>
      <w:marLeft w:val="0"/>
      <w:marRight w:val="0"/>
      <w:marTop w:val="0"/>
      <w:marBottom w:val="0"/>
      <w:divBdr>
        <w:top w:val="none" w:sz="0" w:space="0" w:color="auto"/>
        <w:left w:val="none" w:sz="0" w:space="0" w:color="auto"/>
        <w:bottom w:val="none" w:sz="0" w:space="0" w:color="auto"/>
        <w:right w:val="none" w:sz="0" w:space="0" w:color="auto"/>
      </w:divBdr>
    </w:div>
    <w:div w:id="1382629132">
      <w:bodyDiv w:val="1"/>
      <w:marLeft w:val="0"/>
      <w:marRight w:val="0"/>
      <w:marTop w:val="0"/>
      <w:marBottom w:val="0"/>
      <w:divBdr>
        <w:top w:val="none" w:sz="0" w:space="0" w:color="auto"/>
        <w:left w:val="none" w:sz="0" w:space="0" w:color="auto"/>
        <w:bottom w:val="none" w:sz="0" w:space="0" w:color="auto"/>
        <w:right w:val="none" w:sz="0" w:space="0" w:color="auto"/>
      </w:divBdr>
    </w:div>
    <w:div w:id="1492453760">
      <w:bodyDiv w:val="1"/>
      <w:marLeft w:val="0"/>
      <w:marRight w:val="0"/>
      <w:marTop w:val="0"/>
      <w:marBottom w:val="0"/>
      <w:divBdr>
        <w:top w:val="none" w:sz="0" w:space="0" w:color="auto"/>
        <w:left w:val="none" w:sz="0" w:space="0" w:color="auto"/>
        <w:bottom w:val="none" w:sz="0" w:space="0" w:color="auto"/>
        <w:right w:val="none" w:sz="0" w:space="0" w:color="auto"/>
      </w:divBdr>
    </w:div>
    <w:div w:id="1649824068">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210753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872</Words>
  <Characters>4710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2</cp:revision>
  <cp:lastPrinted>2025-12-10T11:17:00Z</cp:lastPrinted>
  <dcterms:created xsi:type="dcterms:W3CDTF">2026-02-12T15:48:00Z</dcterms:created>
  <dcterms:modified xsi:type="dcterms:W3CDTF">2026-02-12T15:48:00Z</dcterms:modified>
</cp:coreProperties>
</file>