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1578A" w14:textId="77777777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bookmarkStart w:id="0" w:name="_Hlk226358038"/>
    </w:p>
    <w:p w14:paraId="57E8D2DD" w14:textId="005EEF5C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</w:t>
      </w:r>
    </w:p>
    <w:p w14:paraId="7F6EBF0E" w14:textId="33F3D905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PREGÃO ELETRÔNICO Nº </w:t>
      </w:r>
      <w:r>
        <w:rPr>
          <w:rFonts w:ascii="Cambria" w:hAnsi="Cambria"/>
          <w:b/>
          <w:bCs/>
          <w:sz w:val="32"/>
          <w:szCs w:val="32"/>
          <w:u w:val="single"/>
        </w:rPr>
        <w:t>014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</w:t>
      </w:r>
      <w:r>
        <w:rPr>
          <w:rFonts w:ascii="Cambria" w:hAnsi="Cambria"/>
          <w:b/>
          <w:bCs/>
          <w:sz w:val="32"/>
          <w:szCs w:val="32"/>
          <w:u w:val="single"/>
        </w:rPr>
        <w:t>6</w:t>
      </w:r>
      <w:bookmarkEnd w:id="0"/>
    </w:p>
    <w:p w14:paraId="2CD96345" w14:textId="2AC2085D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</w:p>
    <w:p w14:paraId="70C79766" w14:textId="0BF32508" w:rsidR="00A13685" w:rsidRDefault="00A13685" w:rsidP="00A13685">
      <w:pPr>
        <w:spacing w:line="360" w:lineRule="auto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  <w:b/>
          <w:bCs/>
        </w:rPr>
        <w:t>ASSUNTO</w:t>
      </w:r>
      <w:r w:rsidRPr="00A13685">
        <w:rPr>
          <w:rFonts w:asciiTheme="minorHAnsi" w:hAnsiTheme="minorHAnsi"/>
        </w:rPr>
        <w:t>: Impugnação ao Edital do Pregão Eletrônico nº 014/2026 – Registro de Preços para aquisição de medicamentos destinados a suprir, de forma continuada, as necessidades da Farmácia Básica da Secretaria Municipal de Saúde de Jardim do Seridó/RN</w:t>
      </w:r>
    </w:p>
    <w:p w14:paraId="09E069E5" w14:textId="77777777" w:rsidR="00A13685" w:rsidRDefault="00A13685" w:rsidP="00A13685">
      <w:pPr>
        <w:spacing w:line="360" w:lineRule="auto"/>
        <w:jc w:val="both"/>
        <w:rPr>
          <w:rFonts w:asciiTheme="minorHAnsi" w:hAnsiTheme="minorHAnsi"/>
        </w:rPr>
      </w:pPr>
    </w:p>
    <w:p w14:paraId="7EA70859" w14:textId="65372CD5" w:rsid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I – RELATÓRIO</w:t>
      </w:r>
    </w:p>
    <w:p w14:paraId="2F82DD75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</w:rPr>
        <w:t xml:space="preserve">Trata-se de impugnação administrativa apresentada por </w:t>
      </w:r>
      <w:r w:rsidRPr="00A13685">
        <w:rPr>
          <w:rStyle w:val="Forte"/>
          <w:rFonts w:asciiTheme="minorHAnsi" w:hAnsiTheme="minorHAnsi"/>
        </w:rPr>
        <w:t>NUNESFARMA PRODUTOS FARMACÊUTICOS LTDA.</w:t>
      </w:r>
      <w:r w:rsidRPr="00A13685">
        <w:rPr>
          <w:rFonts w:asciiTheme="minorHAnsi" w:hAnsiTheme="minorHAnsi"/>
        </w:rPr>
        <w:t xml:space="preserve">, inscrita no CNPJ sob o nº 75.014.167/0001-00, em face do </w:t>
      </w:r>
      <w:r w:rsidRPr="00A13685">
        <w:rPr>
          <w:rStyle w:val="Forte"/>
          <w:rFonts w:asciiTheme="minorHAnsi" w:hAnsiTheme="minorHAnsi"/>
          <w:b w:val="0"/>
          <w:bCs w:val="0"/>
        </w:rPr>
        <w:t>Edital do Pregão Eletrônico nº 014/2026</w:t>
      </w:r>
      <w:r w:rsidRPr="00A13685">
        <w:rPr>
          <w:rFonts w:asciiTheme="minorHAnsi" w:hAnsiTheme="minorHAnsi"/>
        </w:rPr>
        <w:t xml:space="preserve">, vinculado ao </w:t>
      </w:r>
      <w:r w:rsidRPr="00A13685">
        <w:rPr>
          <w:rStyle w:val="Forte"/>
          <w:rFonts w:asciiTheme="minorHAnsi" w:hAnsiTheme="minorHAnsi"/>
          <w:b w:val="0"/>
          <w:bCs w:val="0"/>
        </w:rPr>
        <w:t>Processo Administrativo MJS/RN nº 105064/2026</w:t>
      </w:r>
      <w:r w:rsidRPr="00A13685">
        <w:rPr>
          <w:rFonts w:asciiTheme="minorHAnsi" w:hAnsiTheme="minorHAnsi"/>
        </w:rPr>
        <w:t xml:space="preserve">, cujo objeto consiste na </w:t>
      </w:r>
      <w:r w:rsidRPr="00A13685">
        <w:rPr>
          <w:rStyle w:val="Forte"/>
          <w:rFonts w:asciiTheme="minorHAnsi" w:hAnsiTheme="minorHAnsi"/>
          <w:b w:val="0"/>
          <w:bCs w:val="0"/>
        </w:rPr>
        <w:t>aquisição de medicamentos destinados a suprir, de forma continuada, as necessidades da Farmácia Básica da Secretaria Municipal de Saúde de Jardim do Seridó/RN</w:t>
      </w:r>
      <w:r w:rsidRPr="00A13685">
        <w:rPr>
          <w:rFonts w:asciiTheme="minorHAnsi" w:hAnsiTheme="minorHAnsi"/>
        </w:rPr>
        <w:t xml:space="preserve">. A impugnante direciona sua insurgência, em síntese, contra o critério de julgamento previsto no item 1.2 do edital, que estabelece </w:t>
      </w:r>
      <w:r w:rsidRPr="00A13685">
        <w:rPr>
          <w:rStyle w:val="Forte"/>
          <w:rFonts w:asciiTheme="minorHAnsi" w:hAnsiTheme="minorHAnsi"/>
          <w:b w:val="0"/>
          <w:bCs w:val="0"/>
        </w:rPr>
        <w:t>menor preço por agrupamento de itens</w:t>
      </w:r>
      <w:r w:rsidRPr="00A13685">
        <w:rPr>
          <w:rFonts w:asciiTheme="minorHAnsi" w:hAnsiTheme="minorHAnsi"/>
          <w:b/>
          <w:bCs/>
        </w:rPr>
        <w:t>.</w:t>
      </w:r>
    </w:p>
    <w:p w14:paraId="77CF7CB9" w14:textId="7CD91836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A empresa sustenta, em linhas gerais, que a adoção do julgamento por lote ou agrupamento de itens seria ilegal, por restringir a competitividade, afastar fornecedores que não disponham de portfólio completo e inviabilizar a adjudicação por item em objeto que reputa divisível. Afirma, ainda, inexistir justificativa técnica para o agrupamento e requer a alteração do edital e do Termo de Referência, com afastamento do critério de julgamento por agrupamento de itens, além da suspensão da sessão e posterior republicação do instrumento convocatório. </w:t>
      </w:r>
    </w:p>
    <w:p w14:paraId="6DF0C57B" w14:textId="2E3760EB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É o relatório.</w:t>
      </w:r>
    </w:p>
    <w:p w14:paraId="1D8DED64" w14:textId="77777777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</w:p>
    <w:p w14:paraId="0EF83C92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lastRenderedPageBreak/>
        <w:t>II – ADMISSIBILIDADE</w:t>
      </w:r>
    </w:p>
    <w:p w14:paraId="64385786" w14:textId="7DB3274F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Nos termos do item 15.1 do edital, qualquer pessoa é parte legítima para impugnar o instrumento convocatório por irregularidade na aplicação da Lei Federal nº 14.133/2021, devendo fazê-lo até 3 (três) dias úteis antes da data da abertura do certame. O edital fixou como data e hora limite para impugnação e esclarecimentos o dia 06/04/2026, às 23h59, ao passo que a sessão pública foi designada para 09/04/2026, às 08h01.</w:t>
      </w:r>
    </w:p>
    <w:p w14:paraId="2A3A5EFA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A impugnação foi apresentada em 04/04/2026, portanto dentro do prazo </w:t>
      </w:r>
      <w:proofErr w:type="spellStart"/>
      <w:r w:rsidRPr="00A13685">
        <w:rPr>
          <w:rFonts w:asciiTheme="minorHAnsi" w:hAnsiTheme="minorHAnsi"/>
        </w:rPr>
        <w:t>editalício</w:t>
      </w:r>
      <w:proofErr w:type="spellEnd"/>
      <w:r w:rsidRPr="00A13685">
        <w:rPr>
          <w:rFonts w:asciiTheme="minorHAnsi" w:hAnsiTheme="minorHAnsi"/>
        </w:rPr>
        <w:t xml:space="preserve"> e legal, sendo também manifesta a legitimidade da empresa impugnante, por se tratar de pessoa jurídica atuante no ramo correlato ao objeto licitado. </w:t>
      </w:r>
    </w:p>
    <w:p w14:paraId="00ACDCF6" w14:textId="510C9569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Diante disso, conhece-se da impugnação, porquanto presentes os pressupostos de admissibilidade.</w:t>
      </w:r>
    </w:p>
    <w:p w14:paraId="2B70E02F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III – MÉRITO</w:t>
      </w:r>
    </w:p>
    <w:p w14:paraId="24553255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1. Da alegação de ilegalidade do critério de julgamento por agrupamento de itens</w:t>
      </w:r>
    </w:p>
    <w:p w14:paraId="7378B6C0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A tese central da impugnante consiste em afirmar que o item 1.2 do edital, ao prever julgamento por agrupamento de itens, seria ilegal por restringir a competitividade e por afrontar a regra de adjudicação por item em objeto divisível. A alegação, contudo, não procede no caso concreto.</w:t>
      </w:r>
    </w:p>
    <w:p w14:paraId="7907D5B6" w14:textId="7A9635A8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O edital efetivamente prevê que “a licitação terá sua disputa tipo menor preço por agrupamento de itens, conforme tabela constante do Termo de Referência”, e o Termo de Referência repete, de forma expressa, que a seleção do fornecedor será realizada por pregão eletrônico com adoção do critério de julgamento menor preço por agrupamento de itens. </w:t>
      </w:r>
    </w:p>
    <w:p w14:paraId="6D198DAC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Entretanto, ao contrário do que sustenta a impugnante, o agrupamento não foi adotado de forma arbitrária nem desprovida de fundamentação. O próprio Termo de Referência, em sua descrição da solução, registra expressamente que a contratação foi </w:t>
      </w:r>
      <w:r w:rsidRPr="00A13685">
        <w:rPr>
          <w:rFonts w:asciiTheme="minorHAnsi" w:hAnsiTheme="minorHAnsi"/>
        </w:rPr>
        <w:lastRenderedPageBreak/>
        <w:t xml:space="preserve">estruturada por meio do agrupamento de itens em lotes, a partir de análise técnica e comparativa entre alternativas disponíveis, concluindo-se que esse modelo oferece maior eficiência operacional, economicidade de escala e aderência às especificações técnicas da rede de saúde. O documento ainda consigna que a modelagem evita a fragmentação excessiva do objeto, reduz a possibilidade de desinteresse do mercado em razão dos custos logísticos de itens isolados, fortalece a regularidade das entregas, simplifica a gestão e a fiscalização contratual e reduz riscos de desabastecimento. </w:t>
      </w:r>
    </w:p>
    <w:p w14:paraId="085CEDEF" w14:textId="67B92975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A Lei nº 14.133/2021 não veda, por si, o agrupamento de itens. O que a ordem jurídica exige é que a escolha administrativa seja motivada, razoável, pertinente ao objeto e compatível com a obtenção da proposta mais vantajosa, à luz dos princípios previstos no art. 5º e dos elementos da fase preparatória, especialmente a motivação das condições do edital e a consideração dos aspectos técnicos, mercadológicos e de gestão que interferem na contratação. </w:t>
      </w:r>
    </w:p>
    <w:p w14:paraId="70209368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No caso dos autos, a motivação existe e está formalmente lançada no Termo de Referência. Não se trata, portanto, de agrupamento sem justificativa, mas de opção administrativa fundamentada em razões de logística, continuidade do abastecimento, controle gerencial, padronização e mitigação do risco de desabastecimento da Farmácia Básica. </w:t>
      </w:r>
    </w:p>
    <w:p w14:paraId="6F956756" w14:textId="32C307BA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Por essa razão, não se verifica violação aos princípios da legalidade, da competitividade, da motivação ou da seleção da proposta mais vantajosa. Ao revés, a modelagem adotada se insere no espaço de conformação técnica da Administração, desde que motivada, como efetivamente ocorreu.</w:t>
      </w:r>
    </w:p>
    <w:p w14:paraId="7E074649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2. Da alegação de ausência de justificativa técnica no edital e anexos</w:t>
      </w:r>
    </w:p>
    <w:p w14:paraId="782052CE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A impugnante sustenta que “não há no edital qualquer justificativa técnica” para a adoção do julgamento por lote. Também nesse ponto a insurgência não merece acolhimento.</w:t>
      </w:r>
    </w:p>
    <w:p w14:paraId="0B15A572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lastRenderedPageBreak/>
        <w:t xml:space="preserve">É certo que o item 1.2 do edital apenas enuncia o critério de julgamento. Contudo, o exame do instrumento convocatório não pode ser realizado de modo fragmentado, desconsiderando seus anexos. O próprio edital remete expressamente ao Termo de Referência, e este integra o instrumento convocatório para todos os fins. Além disso, o item 17.12 do edital elenca o Termo de Referência como Anexo I. </w:t>
      </w:r>
    </w:p>
    <w:p w14:paraId="5878BC96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 xml:space="preserve">No Termo de Referência, a justificativa consta de forma clara. O item 4.1 estabelece que a solução proposta consiste na aquisição de medicamentos mediante licitação estruturada por agrupamento de itens em lotes. O item 4.2 registra que a opção foi definida estrategicamente para assegurar a viabilidade logística do fornecimento e evitar a fragmentação excessiva do objeto, a qual poderia tornar o contrato desinteressante ao mercado em razão dos custos de frete em relação a itens isolados. O item 4.3 acrescenta que o modelo fortalece o poder de negociação do Município, simplifica a gestão e a fiscalização e permite monitoramento mais eficiente dos estoques e das solicitações baseadas em necessidade real. </w:t>
      </w:r>
    </w:p>
    <w:p w14:paraId="2AE7ACD9" w14:textId="77777777" w:rsidR="00A13685" w:rsidRP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t>Portanto, a premissa fática da impugnação não se sustenta. A justificativa técnica não apenas existe, como foi lançada precisamente no documento que, por força da Lei nº 14.133/2021 e do próprio edital, materializa a solução escolhida pela Administração.</w:t>
      </w:r>
    </w:p>
    <w:p w14:paraId="7F0C40CF" w14:textId="10103606" w:rsidR="00A13685" w:rsidRDefault="006D0431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Portanto, </w:t>
      </w:r>
      <w:r w:rsidRPr="006D0431">
        <w:rPr>
          <w:rFonts w:asciiTheme="minorHAnsi" w:hAnsiTheme="minorHAnsi"/>
        </w:rPr>
        <w:t>improcede a alega</w:t>
      </w:r>
      <w:r w:rsidRPr="006D0431">
        <w:rPr>
          <w:rFonts w:asciiTheme="minorHAnsi" w:hAnsiTheme="minorHAnsi" w:hint="cs"/>
        </w:rPr>
        <w:t>çã</w:t>
      </w:r>
      <w:r w:rsidRPr="006D0431">
        <w:rPr>
          <w:rFonts w:asciiTheme="minorHAnsi" w:hAnsiTheme="minorHAnsi"/>
        </w:rPr>
        <w:t>o de aus</w:t>
      </w:r>
      <w:r w:rsidRPr="006D0431">
        <w:rPr>
          <w:rFonts w:asciiTheme="minorHAnsi" w:hAnsiTheme="minorHAnsi" w:hint="cs"/>
        </w:rPr>
        <w:t>ê</w:t>
      </w:r>
      <w:r w:rsidRPr="006D0431">
        <w:rPr>
          <w:rFonts w:asciiTheme="minorHAnsi" w:hAnsiTheme="minorHAnsi"/>
        </w:rPr>
        <w:t>ncia de justificativa t</w:t>
      </w:r>
      <w:r w:rsidRPr="006D0431">
        <w:rPr>
          <w:rFonts w:asciiTheme="minorHAnsi" w:hAnsiTheme="minorHAnsi" w:hint="cs"/>
        </w:rPr>
        <w:t>é</w:t>
      </w:r>
      <w:r w:rsidRPr="006D0431">
        <w:rPr>
          <w:rFonts w:asciiTheme="minorHAnsi" w:hAnsiTheme="minorHAnsi"/>
        </w:rPr>
        <w:t>cnica.</w:t>
      </w:r>
    </w:p>
    <w:p w14:paraId="58F52E4A" w14:textId="0C13EE6B" w:rsidR="006D0431" w:rsidRDefault="006D0431" w:rsidP="006D0431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6D0431">
        <w:rPr>
          <w:rFonts w:asciiTheme="minorHAnsi" w:hAnsiTheme="minorHAnsi"/>
          <w:b/>
          <w:bCs/>
        </w:rPr>
        <w:t>3. Da alegação de restrição indevida à competitividade</w:t>
      </w:r>
    </w:p>
    <w:p w14:paraId="68AA7A8B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>A impugnante afirma que o agrupamento restringe indevidamente a competição, em prejuízo de fornecedores que atuem apenas em parte dos itens. A análise, porém, deve ser feita à luz do caso concreto, e não por presunção abstrata.</w:t>
      </w:r>
    </w:p>
    <w:p w14:paraId="6F2C0D98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 xml:space="preserve">A Lei nº 14.133/2021 consagra a competitividade como princípio, mas não transforma a adjudicação por item em dogma absoluto e inderrogável. A Administração pode adotar agrupamento quando demonstrar pertinência material entre os itens e vantagem administrativa, logística ou econômica. O controle jurídico incide sobre a </w:t>
      </w:r>
      <w:r w:rsidRPr="006D0431">
        <w:rPr>
          <w:rFonts w:asciiTheme="minorHAnsi" w:hAnsiTheme="minorHAnsi"/>
        </w:rPr>
        <w:lastRenderedPageBreak/>
        <w:t>motivação, a proporcionalidade e a aderência ao interesse público, não sobre a mera substituição da opção técnica da Administração por outra preferida pelo particular.</w:t>
      </w:r>
    </w:p>
    <w:p w14:paraId="08127E07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 xml:space="preserve">No presente caso, os lotes não foram organizados de forma aleatória. O Termo de Referência agrupou os medicamentos por classes terapêuticas e afinidade funcional, como psicotrópicos, antibióticos e antiparasitários, medicamentos de urgência e injetáveis, cardiovasculares, antidiabéticos, respiratórios e antialérgicos, analgésicos e anti-inflamatórios, endócrinos e gastrointestinais, suplementos e minerais, dermatológicos e ginecológicos. </w:t>
      </w:r>
    </w:p>
    <w:p w14:paraId="4879851F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 xml:space="preserve">Esse dado é relevante porque demonstra correlação técnica mínima entre os itens integrantes de cada lote, afastando a ideia de agrupamento artificial de objetos absolutamente desconexos. Some-se a isso o fato de o fornecimento ser parcelado, conforme necessidade da Administração, e de a contratada dever possuir disponibilidade logística e capacidade operacional para realizar as entregas nos endereços indicados, condições que reforçam a racionalidade do modelo adotado. </w:t>
      </w:r>
    </w:p>
    <w:p w14:paraId="78F4C109" w14:textId="31609CCD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>A própria Lei de Licitações registra</w:t>
      </w:r>
      <w:r>
        <w:rPr>
          <w:rFonts w:asciiTheme="minorHAnsi" w:hAnsiTheme="minorHAnsi"/>
        </w:rPr>
        <w:t xml:space="preserve"> </w:t>
      </w:r>
      <w:r w:rsidRPr="006D0431">
        <w:rPr>
          <w:rFonts w:asciiTheme="minorHAnsi" w:hAnsiTheme="minorHAnsi"/>
        </w:rPr>
        <w:t xml:space="preserve">que a restrição à competitividade não deve ser avaliada apenas em tese, mas também quanto ao efetivo prejuízo ao caráter competitivo e às consequências práticas da decisão administrativa. Também ressalta que as especificações e exigências da contratação devem ser examinadas à luz da necessidade real do órgão, da motivação técnica e da busca da proposta mais vantajosa. </w:t>
      </w:r>
    </w:p>
    <w:p w14:paraId="609E811C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>No caso, não há demonstração concreta de que o agrupamento, tal como estruturado, inviabilize o mercado ou produza direcionamento. O que há é a inconformidade da impugnante com o modelo escolhido, sob o argumento de que lhe seria mais conveniente a disputa por item. Essa circunstância, por si só, não é suficiente para invalidar o edital.</w:t>
      </w:r>
    </w:p>
    <w:p w14:paraId="3BCBFF57" w14:textId="77777777" w:rsidR="006D0431" w:rsidRPr="006D0431" w:rsidRDefault="006D0431" w:rsidP="006D0431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6D0431">
        <w:rPr>
          <w:rFonts w:asciiTheme="minorHAnsi" w:hAnsiTheme="minorHAnsi"/>
        </w:rPr>
        <w:t>Além disso, o edital admite participação de interessados com ramo compatível com o objeto e prevê tratamento favorecido às microempresas e empresas de pequeno porte nos termos da legislação aplicável, o que denota preocupação com a ampliação da participação, e não sua restrição indevida.</w:t>
      </w:r>
    </w:p>
    <w:p w14:paraId="6ACCB8A1" w14:textId="0BBDDE03" w:rsidR="00A13685" w:rsidRDefault="00EE7E7E" w:rsidP="00EE7E7E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EE7E7E">
        <w:rPr>
          <w:rFonts w:asciiTheme="minorHAnsi" w:hAnsiTheme="minorHAnsi"/>
          <w:b/>
          <w:bCs/>
        </w:rPr>
        <w:lastRenderedPageBreak/>
        <w:t>5. Da razoabilidade, proporcionalidade e consequências práticas da manutenção ou alteração do edital</w:t>
      </w:r>
    </w:p>
    <w:p w14:paraId="04E6FB85" w14:textId="1D01ACBC" w:rsidR="00EE7E7E" w:rsidRPr="00EE7E7E" w:rsidRDefault="00EE7E7E" w:rsidP="00EE7E7E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EE7E7E">
        <w:rPr>
          <w:rFonts w:asciiTheme="minorHAnsi" w:hAnsiTheme="minorHAnsi"/>
        </w:rPr>
        <w:t xml:space="preserve">À luz do art. 5º da Lei nº 14.133/2021, a decisão administrativa deve considerar não apenas a abstração dos princípios, mas as consequências práticas da solução adotada. </w:t>
      </w:r>
    </w:p>
    <w:p w14:paraId="2C4BDD62" w14:textId="77777777" w:rsidR="00EE7E7E" w:rsidRPr="00EE7E7E" w:rsidRDefault="00EE7E7E" w:rsidP="00EE7E7E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EE7E7E">
        <w:rPr>
          <w:rFonts w:asciiTheme="minorHAnsi" w:hAnsiTheme="minorHAnsi"/>
        </w:rPr>
        <w:t xml:space="preserve">No caso concreto, a alteração do critério de julgamento para adjudicação integral por item, sem desconstituição técnica da motivação constante do Termo de Referência, implicaria substituição imotivada do planejamento realizado pela área demandante e poderia comprometer a coerência logística da contratação, a regularidade do abastecimento, a gestão do estoque e a fiscalização contratual, com incremento do risco de desabastecimento da Farmácia Básica. O Termo de Referência foi explícito ao associar o agrupamento à redução desse risco, à simplificação do controle e à otimização da execução contratual. </w:t>
      </w:r>
    </w:p>
    <w:p w14:paraId="7578B7B0" w14:textId="77777777" w:rsidR="00EE7E7E" w:rsidRPr="00EE7E7E" w:rsidRDefault="00EE7E7E" w:rsidP="00EE7E7E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EE7E7E">
        <w:rPr>
          <w:rFonts w:asciiTheme="minorHAnsi" w:hAnsiTheme="minorHAnsi"/>
        </w:rPr>
        <w:t>A manutenção do edital, por sua vez, preserva a solução planejada, o interesse público sanitário e a continuidade da assistência farmacêutica, sem que a impugnante tenha demonstrado vício jurídico concreto capaz de invalidar a escolha administrativa.</w:t>
      </w:r>
    </w:p>
    <w:p w14:paraId="235CA6E3" w14:textId="77777777" w:rsidR="00397072" w:rsidRPr="00397072" w:rsidRDefault="00397072" w:rsidP="00397072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397072">
        <w:rPr>
          <w:rFonts w:asciiTheme="minorHAnsi" w:hAnsiTheme="minorHAnsi"/>
          <w:b/>
          <w:bCs/>
        </w:rPr>
        <w:t>IV – CONCLUSÃO</w:t>
      </w:r>
    </w:p>
    <w:p w14:paraId="3EDE3200" w14:textId="77777777" w:rsidR="00397072" w:rsidRPr="00397072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397072">
        <w:rPr>
          <w:rFonts w:asciiTheme="minorHAnsi" w:hAnsiTheme="minorHAnsi"/>
        </w:rPr>
        <w:t xml:space="preserve">Ante o exposto, recebo a impugnação apresentada pela empresa </w:t>
      </w:r>
      <w:r w:rsidRPr="00397072">
        <w:rPr>
          <w:rFonts w:asciiTheme="minorHAnsi" w:hAnsiTheme="minorHAnsi"/>
          <w:b/>
          <w:bCs/>
        </w:rPr>
        <w:t>NUNESFARMA PRODUTOS FARMACÊUTICOS LTDA</w:t>
      </w:r>
      <w:r w:rsidRPr="00397072">
        <w:rPr>
          <w:rFonts w:asciiTheme="minorHAnsi" w:hAnsiTheme="minorHAnsi"/>
        </w:rPr>
        <w:t xml:space="preserve">. e, no mérito, </w:t>
      </w:r>
      <w:r w:rsidRPr="00397072">
        <w:rPr>
          <w:rFonts w:asciiTheme="minorHAnsi" w:hAnsiTheme="minorHAnsi"/>
          <w:b/>
          <w:bCs/>
        </w:rPr>
        <w:t>INDEFIRO</w:t>
      </w:r>
      <w:r w:rsidRPr="00397072">
        <w:rPr>
          <w:rFonts w:asciiTheme="minorHAnsi" w:hAnsiTheme="minorHAnsi"/>
        </w:rPr>
        <w:t xml:space="preserve"> os argumentos expendidos, mantendo-se integralmente as disposições do Edital do Pregão Eletrônico nº 014/2026.</w:t>
      </w:r>
    </w:p>
    <w:p w14:paraId="0DFAC2E7" w14:textId="1CA1E1F0" w:rsidR="00EE7E7E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397072">
        <w:rPr>
          <w:rFonts w:asciiTheme="minorHAnsi" w:hAnsiTheme="minorHAnsi"/>
        </w:rPr>
        <w:t>Mantêm-se íntegras as cláusulas do edital e do Termo de Referência, porquanto o critério de julgamento por agrupamento de itens encontra-se devidamente justificado no âmbito da fase preparatória, com fundamentação técnica suficiente, evidenciando-se sua pertinência com o objeto licitado, a eficiência logística da contratação, a economicidade de escala, a adequada gestão contratual e a mitigação de riscos de desabastecimento, em conformidade com os princípios e diretrizes estabelecidos na Lei nº 14.133/2021.</w:t>
      </w:r>
    </w:p>
    <w:p w14:paraId="0965833E" w14:textId="77777777" w:rsidR="00397072" w:rsidRPr="00397072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</w:p>
    <w:p w14:paraId="0586497C" w14:textId="77777777" w:rsidR="00EE7E7E" w:rsidRPr="00A13685" w:rsidRDefault="00EE7E7E" w:rsidP="00EE7E7E">
      <w:pPr>
        <w:spacing w:before="240" w:line="360" w:lineRule="auto"/>
        <w:jc w:val="both"/>
        <w:rPr>
          <w:rFonts w:asciiTheme="minorHAnsi" w:hAnsiTheme="minorHAnsi"/>
          <w:b/>
          <w:bCs/>
        </w:rPr>
      </w:pPr>
    </w:p>
    <w:p w14:paraId="1F0B1A8D" w14:textId="30396B08" w:rsidR="00397072" w:rsidRPr="000D19BB" w:rsidRDefault="00397072" w:rsidP="00397072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</w:rPr>
        <w:t xml:space="preserve">Jardim do Seridó/RN, </w:t>
      </w:r>
      <w:r>
        <w:rPr>
          <w:rFonts w:ascii="Cambria" w:hAnsi="Cambria" w:cs="Times New Roman"/>
          <w:bCs/>
          <w:iCs/>
        </w:rPr>
        <w:t>07</w:t>
      </w:r>
      <w:r>
        <w:rPr>
          <w:rFonts w:ascii="Cambria" w:hAnsi="Cambria" w:cs="Times New Roman"/>
          <w:bCs/>
          <w:iCs/>
        </w:rPr>
        <w:t xml:space="preserve"> de </w:t>
      </w:r>
      <w:r>
        <w:rPr>
          <w:rFonts w:ascii="Cambria" w:hAnsi="Cambria" w:cs="Times New Roman"/>
          <w:bCs/>
          <w:iCs/>
        </w:rPr>
        <w:t>abril</w:t>
      </w:r>
      <w:r w:rsidRPr="000D19BB">
        <w:rPr>
          <w:rFonts w:ascii="Cambria" w:hAnsi="Cambria" w:cs="Times New Roman"/>
          <w:bCs/>
          <w:iCs/>
        </w:rPr>
        <w:t xml:space="preserve"> de 202</w:t>
      </w:r>
      <w:r>
        <w:rPr>
          <w:rFonts w:ascii="Cambria" w:hAnsi="Cambria" w:cs="Times New Roman"/>
          <w:bCs/>
          <w:iCs/>
        </w:rPr>
        <w:t>6</w:t>
      </w:r>
      <w:r w:rsidRPr="000D19BB">
        <w:rPr>
          <w:rFonts w:ascii="Cambria" w:hAnsi="Cambria" w:cs="Times New Roman"/>
          <w:bCs/>
          <w:iCs/>
        </w:rPr>
        <w:t>.</w:t>
      </w:r>
    </w:p>
    <w:p w14:paraId="08065A42" w14:textId="77777777" w:rsidR="00397072" w:rsidRDefault="00397072" w:rsidP="00397072">
      <w:pPr>
        <w:pStyle w:val="Corpodetexto"/>
        <w:spacing w:before="240"/>
        <w:jc w:val="both"/>
        <w:rPr>
          <w:rFonts w:ascii="Cambria" w:hAnsi="Cambria"/>
          <w:b/>
          <w:i/>
        </w:rPr>
      </w:pPr>
    </w:p>
    <w:p w14:paraId="76C150F1" w14:textId="77777777" w:rsidR="00397072" w:rsidRPr="000D19BB" w:rsidRDefault="00397072" w:rsidP="00397072">
      <w:pPr>
        <w:pStyle w:val="Corpodetexto"/>
        <w:spacing w:before="240"/>
        <w:jc w:val="both"/>
        <w:rPr>
          <w:rFonts w:ascii="Cambria" w:hAnsi="Cambria"/>
          <w:b/>
          <w:i/>
        </w:rPr>
      </w:pPr>
    </w:p>
    <w:p w14:paraId="714B2BE1" w14:textId="77777777" w:rsidR="00397072" w:rsidRPr="000D19BB" w:rsidRDefault="00397072" w:rsidP="00397072">
      <w:pPr>
        <w:pStyle w:val="Corpodetexto"/>
        <w:spacing w:before="240"/>
        <w:jc w:val="both"/>
        <w:rPr>
          <w:rFonts w:ascii="Cambria" w:hAnsi="Cambria"/>
          <w:b/>
          <w:i/>
        </w:rPr>
      </w:pPr>
    </w:p>
    <w:p w14:paraId="6BDF3A2A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/>
          <w:i/>
          <w:iCs/>
        </w:rPr>
      </w:pPr>
    </w:p>
    <w:p w14:paraId="6DC75EF5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/>
          <w:i/>
          <w:iCs/>
        </w:rPr>
      </w:pPr>
      <w:r w:rsidRPr="000D19BB">
        <w:rPr>
          <w:rFonts w:ascii="Cambria" w:hAnsi="Cambria" w:cs="Times New Roman"/>
          <w:b/>
          <w:i/>
          <w:iCs/>
        </w:rPr>
        <w:t>José Fernandes de Oliveira Neto</w:t>
      </w:r>
    </w:p>
    <w:p w14:paraId="1492C708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Cs/>
          <w:i/>
          <w:iCs/>
        </w:rPr>
      </w:pPr>
      <w:r w:rsidRPr="000D19BB">
        <w:rPr>
          <w:rFonts w:ascii="Cambria" w:hAnsi="Cambria" w:cs="Times New Roman"/>
          <w:bCs/>
          <w:i/>
          <w:iCs/>
        </w:rPr>
        <w:t>Pregoeiro Municipal</w:t>
      </w:r>
    </w:p>
    <w:p w14:paraId="1F587950" w14:textId="77777777" w:rsidR="00A13685" w:rsidRPr="00A13685" w:rsidRDefault="00A13685" w:rsidP="00A13685">
      <w:pPr>
        <w:spacing w:line="360" w:lineRule="auto"/>
        <w:jc w:val="both"/>
        <w:rPr>
          <w:rFonts w:asciiTheme="minorHAnsi" w:hAnsiTheme="minorHAnsi"/>
          <w:b/>
          <w:bCs/>
          <w:sz w:val="32"/>
          <w:szCs w:val="32"/>
          <w:u w:val="single"/>
        </w:rPr>
      </w:pPr>
    </w:p>
    <w:p w14:paraId="666E2025" w14:textId="77777777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</w:p>
    <w:p w14:paraId="00000475" w14:textId="77777777" w:rsidR="00310938" w:rsidRPr="00A13685" w:rsidRDefault="00310938" w:rsidP="00A13685"/>
    <w:sectPr w:rsidR="00310938" w:rsidRPr="00A13685" w:rsidSect="00A13685">
      <w:headerReference w:type="default" r:id="rId9"/>
      <w:footerReference w:type="default" r:id="rId10"/>
      <w:pgSz w:w="11906" w:h="16838"/>
      <w:pgMar w:top="1701" w:right="1134" w:bottom="1418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DC6114" w14:textId="77777777" w:rsidR="00291E79" w:rsidRDefault="00291E79">
      <w:r>
        <w:separator/>
      </w:r>
    </w:p>
  </w:endnote>
  <w:endnote w:type="continuationSeparator" w:id="0">
    <w:p w14:paraId="5F6F20DB" w14:textId="77777777" w:rsidR="00291E79" w:rsidRDefault="00291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923E4B" w:rsidRDefault="00923E4B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14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923E4B" w:rsidRPr="00AA0D7C" w:rsidRDefault="00923E4B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Seridó/RN- CEP: 59.343-000</w:t>
    </w:r>
  </w:p>
  <w:p w14:paraId="385F7F4E" w14:textId="2D33A834" w:rsidR="00923E4B" w:rsidRDefault="00923E4B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923E4B" w:rsidRDefault="00923E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A8913" w14:textId="77777777" w:rsidR="00291E79" w:rsidRDefault="00291E79">
      <w:r>
        <w:separator/>
      </w:r>
    </w:p>
  </w:footnote>
  <w:footnote w:type="continuationSeparator" w:id="0">
    <w:p w14:paraId="4C7F30B0" w14:textId="77777777" w:rsidR="00291E79" w:rsidRDefault="00291E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63BE5031" w14:textId="5D941827" w:rsidR="00923E4B" w:rsidRDefault="00923E4B" w:rsidP="001069FE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237E7951">
          <wp:extent cx="6784986" cy="1127293"/>
          <wp:effectExtent l="0" t="0" r="0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2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A3A32"/>
    <w:multiLevelType w:val="multilevel"/>
    <w:tmpl w:val="1908C630"/>
    <w:lvl w:ilvl="0">
      <w:start w:val="1"/>
      <w:numFmt w:val="decimal"/>
      <w:pStyle w:val="TITULOTR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NIVEL2TR"/>
      <w:lvlText w:val="%1.%2"/>
      <w:lvlJc w:val="left"/>
      <w:pPr>
        <w:ind w:left="426" w:firstLine="0"/>
      </w:pPr>
      <w:rPr>
        <w:rFonts w:ascii="Times New Roman" w:hAnsi="Times New Roman" w:cs="Times New Roman" w:hint="default"/>
        <w:b/>
        <w:bCs w:val="0"/>
        <w:strike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426" w:firstLine="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9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50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3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8"/>
  </w:num>
  <w:num w:numId="2">
    <w:abstractNumId w:val="9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1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3"/>
  </w:num>
  <w:num w:numId="8">
    <w:abstractNumId w:val="5"/>
  </w:num>
  <w:num w:numId="9">
    <w:abstractNumId w:val="12"/>
  </w:num>
  <w:num w:numId="10">
    <w:abstractNumId w:val="14"/>
  </w:num>
  <w:num w:numId="11">
    <w:abstractNumId w:val="4"/>
  </w:num>
  <w:num w:numId="12">
    <w:abstractNumId w:val="3"/>
  </w:num>
  <w:num w:numId="13">
    <w:abstractNumId w:val="7"/>
  </w:num>
  <w:num w:numId="14">
    <w:abstractNumId w:val="10"/>
  </w:num>
  <w:num w:numId="15">
    <w:abstractNumId w:val="11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3D82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3EC2"/>
    <w:rsid w:val="00194D4F"/>
    <w:rsid w:val="00195C5B"/>
    <w:rsid w:val="001A4B9B"/>
    <w:rsid w:val="001B3D6E"/>
    <w:rsid w:val="001C0274"/>
    <w:rsid w:val="001D5829"/>
    <w:rsid w:val="001D65A4"/>
    <w:rsid w:val="001E0B96"/>
    <w:rsid w:val="001E1F42"/>
    <w:rsid w:val="001E6470"/>
    <w:rsid w:val="001F1E72"/>
    <w:rsid w:val="0020702C"/>
    <w:rsid w:val="00222F9F"/>
    <w:rsid w:val="00224E39"/>
    <w:rsid w:val="00226660"/>
    <w:rsid w:val="002379B8"/>
    <w:rsid w:val="002612B6"/>
    <w:rsid w:val="00263D20"/>
    <w:rsid w:val="00274782"/>
    <w:rsid w:val="00280EE4"/>
    <w:rsid w:val="00291E79"/>
    <w:rsid w:val="00296DE1"/>
    <w:rsid w:val="002A4887"/>
    <w:rsid w:val="002A5950"/>
    <w:rsid w:val="002D2CDB"/>
    <w:rsid w:val="002D45B4"/>
    <w:rsid w:val="002E2500"/>
    <w:rsid w:val="002F116D"/>
    <w:rsid w:val="003004D7"/>
    <w:rsid w:val="00303A7C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7186D"/>
    <w:rsid w:val="003828C0"/>
    <w:rsid w:val="00391A33"/>
    <w:rsid w:val="00397072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3A3"/>
    <w:rsid w:val="00426D42"/>
    <w:rsid w:val="004279F2"/>
    <w:rsid w:val="00432C77"/>
    <w:rsid w:val="00435DC4"/>
    <w:rsid w:val="00450FF8"/>
    <w:rsid w:val="00451701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552"/>
    <w:rsid w:val="004B3864"/>
    <w:rsid w:val="004C03A7"/>
    <w:rsid w:val="004D1BB2"/>
    <w:rsid w:val="004D2B6D"/>
    <w:rsid w:val="004F0C7B"/>
    <w:rsid w:val="004F2654"/>
    <w:rsid w:val="0050113E"/>
    <w:rsid w:val="0050431D"/>
    <w:rsid w:val="00510B5B"/>
    <w:rsid w:val="0051585B"/>
    <w:rsid w:val="00517971"/>
    <w:rsid w:val="00531E41"/>
    <w:rsid w:val="00533EB6"/>
    <w:rsid w:val="005341E5"/>
    <w:rsid w:val="00542CA0"/>
    <w:rsid w:val="005546B6"/>
    <w:rsid w:val="00556673"/>
    <w:rsid w:val="005609BE"/>
    <w:rsid w:val="0056661C"/>
    <w:rsid w:val="005717E9"/>
    <w:rsid w:val="005723BB"/>
    <w:rsid w:val="00572F18"/>
    <w:rsid w:val="00582CF3"/>
    <w:rsid w:val="00583758"/>
    <w:rsid w:val="005958C3"/>
    <w:rsid w:val="00595B6C"/>
    <w:rsid w:val="005A33B9"/>
    <w:rsid w:val="005B340A"/>
    <w:rsid w:val="005B6397"/>
    <w:rsid w:val="005C56DA"/>
    <w:rsid w:val="005C5CA2"/>
    <w:rsid w:val="005C72F6"/>
    <w:rsid w:val="005E0348"/>
    <w:rsid w:val="005E2BCA"/>
    <w:rsid w:val="005F0E21"/>
    <w:rsid w:val="005F6233"/>
    <w:rsid w:val="0060199E"/>
    <w:rsid w:val="00615649"/>
    <w:rsid w:val="00615D43"/>
    <w:rsid w:val="00616FA2"/>
    <w:rsid w:val="00617F7B"/>
    <w:rsid w:val="00620A90"/>
    <w:rsid w:val="006225ED"/>
    <w:rsid w:val="00634257"/>
    <w:rsid w:val="00640FFF"/>
    <w:rsid w:val="00642D81"/>
    <w:rsid w:val="00647369"/>
    <w:rsid w:val="006512BB"/>
    <w:rsid w:val="00651579"/>
    <w:rsid w:val="00654091"/>
    <w:rsid w:val="00663C6F"/>
    <w:rsid w:val="00665BEC"/>
    <w:rsid w:val="006766A2"/>
    <w:rsid w:val="00681027"/>
    <w:rsid w:val="00681545"/>
    <w:rsid w:val="006A30D8"/>
    <w:rsid w:val="006A4902"/>
    <w:rsid w:val="006B5B9C"/>
    <w:rsid w:val="006C2E24"/>
    <w:rsid w:val="006C42B7"/>
    <w:rsid w:val="006C6DA5"/>
    <w:rsid w:val="006D0031"/>
    <w:rsid w:val="006D04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44E3"/>
    <w:rsid w:val="007653D9"/>
    <w:rsid w:val="00767A56"/>
    <w:rsid w:val="007744F5"/>
    <w:rsid w:val="00780B49"/>
    <w:rsid w:val="0078437C"/>
    <w:rsid w:val="007856A2"/>
    <w:rsid w:val="007876C2"/>
    <w:rsid w:val="007927D7"/>
    <w:rsid w:val="00795CB3"/>
    <w:rsid w:val="007A23DA"/>
    <w:rsid w:val="007A301D"/>
    <w:rsid w:val="007A3661"/>
    <w:rsid w:val="007A693C"/>
    <w:rsid w:val="007A7C0A"/>
    <w:rsid w:val="007B0274"/>
    <w:rsid w:val="007B510E"/>
    <w:rsid w:val="007C498E"/>
    <w:rsid w:val="007D079E"/>
    <w:rsid w:val="007F002C"/>
    <w:rsid w:val="00834330"/>
    <w:rsid w:val="00834686"/>
    <w:rsid w:val="00840E88"/>
    <w:rsid w:val="00845059"/>
    <w:rsid w:val="00861233"/>
    <w:rsid w:val="0086621E"/>
    <w:rsid w:val="00872554"/>
    <w:rsid w:val="00873BFB"/>
    <w:rsid w:val="00876570"/>
    <w:rsid w:val="0087792E"/>
    <w:rsid w:val="00877A24"/>
    <w:rsid w:val="00881D5E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8E2242"/>
    <w:rsid w:val="0091068F"/>
    <w:rsid w:val="00915184"/>
    <w:rsid w:val="009172CE"/>
    <w:rsid w:val="00923E4B"/>
    <w:rsid w:val="00925648"/>
    <w:rsid w:val="009439F2"/>
    <w:rsid w:val="00945FF1"/>
    <w:rsid w:val="00946BF7"/>
    <w:rsid w:val="00951E3E"/>
    <w:rsid w:val="0095513C"/>
    <w:rsid w:val="00956558"/>
    <w:rsid w:val="00960E46"/>
    <w:rsid w:val="009638F1"/>
    <w:rsid w:val="00980099"/>
    <w:rsid w:val="009813B2"/>
    <w:rsid w:val="00991595"/>
    <w:rsid w:val="00996E11"/>
    <w:rsid w:val="009B173D"/>
    <w:rsid w:val="009B6D98"/>
    <w:rsid w:val="009C0144"/>
    <w:rsid w:val="009C1AB1"/>
    <w:rsid w:val="009D262F"/>
    <w:rsid w:val="009D3697"/>
    <w:rsid w:val="009D7601"/>
    <w:rsid w:val="009D797A"/>
    <w:rsid w:val="009E5DB1"/>
    <w:rsid w:val="009E72EC"/>
    <w:rsid w:val="009F6BC0"/>
    <w:rsid w:val="00A13685"/>
    <w:rsid w:val="00A20EAC"/>
    <w:rsid w:val="00A3444E"/>
    <w:rsid w:val="00A34849"/>
    <w:rsid w:val="00A5326C"/>
    <w:rsid w:val="00A535E1"/>
    <w:rsid w:val="00A5509A"/>
    <w:rsid w:val="00A66253"/>
    <w:rsid w:val="00A7187E"/>
    <w:rsid w:val="00A74CAD"/>
    <w:rsid w:val="00A7751D"/>
    <w:rsid w:val="00A8515B"/>
    <w:rsid w:val="00A926B9"/>
    <w:rsid w:val="00A93567"/>
    <w:rsid w:val="00AA0D7C"/>
    <w:rsid w:val="00AA1AAF"/>
    <w:rsid w:val="00AA65E5"/>
    <w:rsid w:val="00AA6FFB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42F37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B496A"/>
    <w:rsid w:val="00BC4978"/>
    <w:rsid w:val="00BC6F30"/>
    <w:rsid w:val="00BD3476"/>
    <w:rsid w:val="00BD48CB"/>
    <w:rsid w:val="00BD7537"/>
    <w:rsid w:val="00BD79D4"/>
    <w:rsid w:val="00BE5663"/>
    <w:rsid w:val="00BE7954"/>
    <w:rsid w:val="00BF06ED"/>
    <w:rsid w:val="00C04DB6"/>
    <w:rsid w:val="00C06660"/>
    <w:rsid w:val="00C25818"/>
    <w:rsid w:val="00C41C2B"/>
    <w:rsid w:val="00C50C02"/>
    <w:rsid w:val="00C528A6"/>
    <w:rsid w:val="00C542AB"/>
    <w:rsid w:val="00C63350"/>
    <w:rsid w:val="00C751AD"/>
    <w:rsid w:val="00CB696F"/>
    <w:rsid w:val="00CC4A93"/>
    <w:rsid w:val="00CC538D"/>
    <w:rsid w:val="00CD2380"/>
    <w:rsid w:val="00CD728E"/>
    <w:rsid w:val="00CE3D7F"/>
    <w:rsid w:val="00CE4E57"/>
    <w:rsid w:val="00CE65E2"/>
    <w:rsid w:val="00D03FAE"/>
    <w:rsid w:val="00D044D6"/>
    <w:rsid w:val="00D05C4B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B029F"/>
    <w:rsid w:val="00DB358D"/>
    <w:rsid w:val="00DB407C"/>
    <w:rsid w:val="00DC15AF"/>
    <w:rsid w:val="00DC2642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275F5"/>
    <w:rsid w:val="00E33F21"/>
    <w:rsid w:val="00E40B01"/>
    <w:rsid w:val="00E51CA7"/>
    <w:rsid w:val="00E54836"/>
    <w:rsid w:val="00E55733"/>
    <w:rsid w:val="00E618E1"/>
    <w:rsid w:val="00E62832"/>
    <w:rsid w:val="00E65E65"/>
    <w:rsid w:val="00E86917"/>
    <w:rsid w:val="00E90206"/>
    <w:rsid w:val="00E938F5"/>
    <w:rsid w:val="00EA07E6"/>
    <w:rsid w:val="00EA37F8"/>
    <w:rsid w:val="00EB0892"/>
    <w:rsid w:val="00EB2BA9"/>
    <w:rsid w:val="00EB303C"/>
    <w:rsid w:val="00EB4D7F"/>
    <w:rsid w:val="00EB4EBC"/>
    <w:rsid w:val="00EC2A22"/>
    <w:rsid w:val="00EC2E0B"/>
    <w:rsid w:val="00EC382E"/>
    <w:rsid w:val="00ED423D"/>
    <w:rsid w:val="00ED7085"/>
    <w:rsid w:val="00EE23D1"/>
    <w:rsid w:val="00EE585A"/>
    <w:rsid w:val="00EE7E7E"/>
    <w:rsid w:val="00EF065E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uiPriority w:val="9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uiPriority w:val="9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uiPriority w:val="9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uiPriority w:val="9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uiPriority w:val="9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10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9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uiPriority w:val="9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uiPriority w:val="9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uiPriority w:val="9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uiPriority w:val="9"/>
    <w:qFormat/>
    <w:rPr>
      <w:rFonts w:eastAsia="Times New Roman"/>
      <w:sz w:val="24"/>
    </w:rPr>
  </w:style>
  <w:style w:type="character" w:customStyle="1" w:styleId="Ttulo8Char">
    <w:name w:val="Título 8 Char"/>
    <w:uiPriority w:val="9"/>
    <w:qFormat/>
    <w:rPr>
      <w:rFonts w:eastAsia="Times New Roman"/>
      <w:b/>
      <w:sz w:val="22"/>
    </w:rPr>
  </w:style>
  <w:style w:type="character" w:customStyle="1" w:styleId="Ttulo9Char">
    <w:name w:val="Título 9 Char"/>
    <w:uiPriority w:val="9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11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  <w:uiPriority w:val="99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uiPriority w:val="11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uiPriority w:val="39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character" w:styleId="nfaseIntensa">
    <w:name w:val="Intense Emphasis"/>
    <w:basedOn w:val="Fontepargpadro"/>
    <w:uiPriority w:val="21"/>
    <w:qFormat/>
    <w:rsid w:val="00BB49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9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96A"/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BB496A"/>
    <w:rPr>
      <w:b/>
      <w:bCs/>
      <w:smallCaps/>
      <w:color w:val="365F91" w:themeColor="accent1" w:themeShade="BF"/>
      <w:spacing w:val="5"/>
    </w:rPr>
  </w:style>
  <w:style w:type="character" w:customStyle="1" w:styleId="Meno3">
    <w:name w:val="Menção3"/>
    <w:uiPriority w:val="99"/>
    <w:unhideWhenUsed/>
    <w:rsid w:val="00BB496A"/>
    <w:rPr>
      <w:color w:val="2B579A"/>
      <w:shd w:val="clear" w:color="auto" w:fill="E6E6E6"/>
    </w:rPr>
  </w:style>
  <w:style w:type="numbering" w:customStyle="1" w:styleId="Semlista11">
    <w:name w:val="Sem lista11"/>
    <w:next w:val="Semlista"/>
    <w:uiPriority w:val="99"/>
    <w:semiHidden/>
    <w:unhideWhenUsed/>
    <w:rsid w:val="00BB496A"/>
  </w:style>
  <w:style w:type="numbering" w:customStyle="1" w:styleId="Semlista4">
    <w:name w:val="Sem lista4"/>
    <w:next w:val="Semlista"/>
    <w:uiPriority w:val="99"/>
    <w:semiHidden/>
    <w:unhideWhenUsed/>
    <w:rsid w:val="00BB496A"/>
  </w:style>
  <w:style w:type="paragraph" w:customStyle="1" w:styleId="TITULOTR">
    <w:name w:val="TITULO TR"/>
    <w:basedOn w:val="PargrafodaLista"/>
    <w:link w:val="TITULOTRChar"/>
    <w:qFormat/>
    <w:rsid w:val="00BB496A"/>
    <w:pPr>
      <w:numPr>
        <w:numId w:val="18"/>
      </w:numPr>
      <w:pBdr>
        <w:top w:val="nil"/>
        <w:left w:val="nil"/>
        <w:bottom w:val="nil"/>
        <w:right w:val="nil"/>
        <w:between w:val="nil"/>
      </w:pBdr>
      <w:spacing w:line="276" w:lineRule="auto"/>
      <w:jc w:val="both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customStyle="1" w:styleId="NIVEL2TR">
    <w:name w:val="NIVEL2 TR"/>
    <w:basedOn w:val="TITULOTR"/>
    <w:qFormat/>
    <w:rsid w:val="00BB496A"/>
    <w:pPr>
      <w:numPr>
        <w:ilvl w:val="1"/>
      </w:numPr>
      <w:tabs>
        <w:tab w:val="num" w:pos="360"/>
      </w:tabs>
      <w:ind w:left="720" w:hanging="360"/>
    </w:pPr>
    <w:rPr>
      <w:b w:val="0"/>
      <w:bCs/>
    </w:rPr>
  </w:style>
  <w:style w:type="character" w:customStyle="1" w:styleId="TITULOTRChar">
    <w:name w:val="TITULO TR Char"/>
    <w:link w:val="TITULOTR"/>
    <w:rsid w:val="00BB496A"/>
    <w:rPr>
      <w:rFonts w:ascii="Times New Roman" w:eastAsia="Times New Roman" w:hAnsi="Times New Roman" w:cs="Times New Roman"/>
      <w:b/>
      <w:color w:val="000000"/>
    </w:rPr>
  </w:style>
  <w:style w:type="table" w:customStyle="1" w:styleId="Tabelacomgrade11">
    <w:name w:val="Tabela com grade11"/>
    <w:basedOn w:val="Tabelanormal"/>
    <w:next w:val="Tabelacomgrade"/>
    <w:uiPriority w:val="39"/>
    <w:rsid w:val="00BB496A"/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923E4B"/>
    <w:pPr>
      <w:keepNext/>
      <w:keepLines/>
      <w:spacing w:before="40" w:line="256" w:lineRule="auto"/>
      <w:outlineLvl w:val="6"/>
    </w:pPr>
    <w:rPr>
      <w:rFonts w:ascii="Calibri" w:eastAsia="Times New Roman" w:hAnsi="Calibri" w:cs="Times New Roman"/>
      <w:color w:val="595959"/>
      <w:kern w:val="2"/>
      <w:sz w:val="22"/>
      <w:szCs w:val="22"/>
      <w:lang w:eastAsia="en-US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7"/>
    </w:pPr>
    <w:rPr>
      <w:rFonts w:ascii="Calibri" w:eastAsia="Times New Roman" w:hAnsi="Calibri" w:cs="Times New Roman"/>
      <w:i/>
      <w:iCs/>
      <w:color w:val="272727"/>
      <w:kern w:val="2"/>
      <w:sz w:val="22"/>
      <w:szCs w:val="22"/>
      <w:lang w:eastAsia="en-US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8"/>
    </w:pPr>
    <w:rPr>
      <w:rFonts w:ascii="Calibri" w:eastAsia="Times New Roman" w:hAnsi="Calibri" w:cs="Times New Roman"/>
      <w:color w:val="272727"/>
      <w:kern w:val="2"/>
      <w:sz w:val="22"/>
      <w:szCs w:val="22"/>
      <w:lang w:eastAsia="en-US"/>
    </w:rPr>
  </w:style>
  <w:style w:type="numbering" w:customStyle="1" w:styleId="Semlista12">
    <w:name w:val="Sem lista12"/>
    <w:next w:val="Semlista"/>
    <w:uiPriority w:val="99"/>
    <w:semiHidden/>
    <w:unhideWhenUsed/>
    <w:rsid w:val="00923E4B"/>
  </w:style>
  <w:style w:type="paragraph" w:customStyle="1" w:styleId="NotaExplicativa1">
    <w:name w:val="NotaExplicativa1"/>
    <w:basedOn w:val="Normal"/>
    <w:next w:val="Normal"/>
    <w:qFormat/>
    <w:rsid w:val="00923E4B"/>
    <w:pPr>
      <w:spacing w:before="160" w:after="160" w:line="256" w:lineRule="auto"/>
      <w:jc w:val="center"/>
    </w:pPr>
    <w:rPr>
      <w:rFonts w:ascii="Calibri" w:eastAsia="Calibri" w:hAnsi="Calibri" w:cs="Calibri"/>
      <w:i/>
      <w:iCs/>
      <w:color w:val="404040"/>
      <w:sz w:val="20"/>
      <w:szCs w:val="20"/>
      <w:lang w:eastAsia="pt-BR"/>
    </w:rPr>
  </w:style>
  <w:style w:type="character" w:customStyle="1" w:styleId="CitaoChar1">
    <w:name w:val="Citação Char1"/>
    <w:aliases w:val="TCU Char1,Citação AGU Char1,NotaExplicativa Char1"/>
    <w:uiPriority w:val="29"/>
    <w:rsid w:val="00923E4B"/>
    <w:rPr>
      <w:rFonts w:cs="Times New Roman"/>
      <w:i/>
      <w:iCs/>
      <w:color w:val="404040"/>
      <w:kern w:val="2"/>
      <w:sz w:val="22"/>
      <w:szCs w:val="22"/>
      <w:lang w:eastAsia="en-US"/>
    </w:rPr>
  </w:style>
  <w:style w:type="paragraph" w:customStyle="1" w:styleId="CitaoIntensa1">
    <w:name w:val="Citação Intensa1"/>
    <w:basedOn w:val="Normal"/>
    <w:next w:val="Normal"/>
    <w:uiPriority w:val="30"/>
    <w:qFormat/>
    <w:rsid w:val="00923E4B"/>
    <w:pPr>
      <w:pBdr>
        <w:top w:val="single" w:sz="4" w:space="10" w:color="2F5496"/>
        <w:bottom w:val="single" w:sz="4" w:space="10" w:color="2F5496"/>
      </w:pBdr>
      <w:spacing w:before="360" w:after="360" w:line="256" w:lineRule="auto"/>
      <w:ind w:left="864" w:right="864"/>
      <w:jc w:val="center"/>
    </w:pPr>
    <w:rPr>
      <w:rFonts w:ascii="Calibri" w:eastAsia="Calibri" w:hAnsi="Calibri" w:cs="Times New Roman"/>
      <w:i/>
      <w:iCs/>
      <w:color w:val="2F5496"/>
      <w:kern w:val="2"/>
      <w:sz w:val="22"/>
      <w:szCs w:val="22"/>
      <w:lang w:eastAsia="en-US"/>
    </w:rPr>
  </w:style>
  <w:style w:type="character" w:customStyle="1" w:styleId="nfaseIntensa1">
    <w:name w:val="Ênfase Intensa1"/>
    <w:uiPriority w:val="21"/>
    <w:qFormat/>
    <w:rsid w:val="00923E4B"/>
    <w:rPr>
      <w:i/>
      <w:iCs/>
      <w:color w:val="2F5496"/>
    </w:rPr>
  </w:style>
  <w:style w:type="character" w:customStyle="1" w:styleId="RefernciaIntensa1">
    <w:name w:val="Referência Intensa1"/>
    <w:uiPriority w:val="32"/>
    <w:qFormat/>
    <w:rsid w:val="00923E4B"/>
    <w:rPr>
      <w:b/>
      <w:bCs/>
      <w:smallCaps/>
      <w:color w:val="2F5496"/>
      <w:spacing w:val="5"/>
    </w:rPr>
  </w:style>
  <w:style w:type="character" w:customStyle="1" w:styleId="Ttulo7Char1">
    <w:name w:val="Título 7 Char1"/>
    <w:uiPriority w:val="9"/>
    <w:semiHidden/>
    <w:rsid w:val="00923E4B"/>
    <w:rPr>
      <w:rFonts w:ascii="Calibri" w:eastAsia="Times New Roman" w:hAnsi="Calibri" w:cs="Times New Roman"/>
      <w:kern w:val="3"/>
      <w:sz w:val="24"/>
      <w:szCs w:val="24"/>
    </w:rPr>
  </w:style>
  <w:style w:type="character" w:customStyle="1" w:styleId="Ttulo8Char1">
    <w:name w:val="Título 8 Char1"/>
    <w:uiPriority w:val="9"/>
    <w:semiHidden/>
    <w:rsid w:val="00923E4B"/>
    <w:rPr>
      <w:rFonts w:ascii="Calibri" w:eastAsia="Times New Roman" w:hAnsi="Calibri" w:cs="Times New Roman"/>
      <w:i/>
      <w:iCs/>
      <w:kern w:val="3"/>
      <w:sz w:val="24"/>
      <w:szCs w:val="24"/>
    </w:rPr>
  </w:style>
  <w:style w:type="character" w:customStyle="1" w:styleId="Ttulo9Char1">
    <w:name w:val="Título 9 Char1"/>
    <w:uiPriority w:val="9"/>
    <w:semiHidden/>
    <w:rsid w:val="00923E4B"/>
    <w:rPr>
      <w:rFonts w:ascii="Calibri Light" w:eastAsia="Times New Roman" w:hAnsi="Calibri Light" w:cs="Times New Roman"/>
      <w:kern w:val="3"/>
      <w:sz w:val="22"/>
      <w:szCs w:val="22"/>
    </w:rPr>
  </w:style>
  <w:style w:type="character" w:customStyle="1" w:styleId="CitaoChar2">
    <w:name w:val="Citação Char2"/>
    <w:uiPriority w:val="29"/>
    <w:rsid w:val="00923E4B"/>
    <w:rPr>
      <w:rFonts w:eastAsia="SimSun" w:cs="Tahoma"/>
      <w:i/>
      <w:iCs/>
      <w:color w:val="404040"/>
      <w:kern w:val="3"/>
      <w:sz w:val="22"/>
      <w:szCs w:val="22"/>
    </w:rPr>
  </w:style>
  <w:style w:type="character" w:customStyle="1" w:styleId="CitaoIntensaChar1">
    <w:name w:val="Citação Intensa Char1"/>
    <w:uiPriority w:val="30"/>
    <w:rsid w:val="00923E4B"/>
    <w:rPr>
      <w:rFonts w:eastAsia="SimSun" w:cs="Tahoma"/>
      <w:i/>
      <w:iCs/>
      <w:color w:val="4472C4"/>
      <w:kern w:val="3"/>
      <w:sz w:val="22"/>
      <w:szCs w:val="22"/>
    </w:rPr>
  </w:style>
  <w:style w:type="numbering" w:customStyle="1" w:styleId="Semlista21">
    <w:name w:val="Sem lista21"/>
    <w:next w:val="Semlista"/>
    <w:uiPriority w:val="99"/>
    <w:semiHidden/>
    <w:unhideWhenUsed/>
    <w:rsid w:val="00923E4B"/>
  </w:style>
  <w:style w:type="numbering" w:customStyle="1" w:styleId="Semlista111">
    <w:name w:val="Sem lista111"/>
    <w:next w:val="Semlista"/>
    <w:uiPriority w:val="99"/>
    <w:semiHidden/>
    <w:unhideWhenUsed/>
    <w:rsid w:val="00923E4B"/>
  </w:style>
  <w:style w:type="numbering" w:customStyle="1" w:styleId="Estilo111">
    <w:name w:val="Estilo111"/>
    <w:uiPriority w:val="99"/>
    <w:rsid w:val="00923E4B"/>
  </w:style>
  <w:style w:type="numbering" w:customStyle="1" w:styleId="Estilo211">
    <w:name w:val="Estilo211"/>
    <w:uiPriority w:val="99"/>
    <w:rsid w:val="00923E4B"/>
  </w:style>
  <w:style w:type="numbering" w:customStyle="1" w:styleId="Estilo311">
    <w:name w:val="Estilo311"/>
    <w:uiPriority w:val="99"/>
    <w:rsid w:val="00923E4B"/>
  </w:style>
  <w:style w:type="numbering" w:customStyle="1" w:styleId="Estilo411">
    <w:name w:val="Estilo411"/>
    <w:uiPriority w:val="99"/>
    <w:rsid w:val="00923E4B"/>
  </w:style>
  <w:style w:type="numbering" w:customStyle="1" w:styleId="Estilo511">
    <w:name w:val="Estilo511"/>
    <w:uiPriority w:val="99"/>
    <w:rsid w:val="00923E4B"/>
  </w:style>
  <w:style w:type="numbering" w:customStyle="1" w:styleId="Estilo611">
    <w:name w:val="Estilo611"/>
    <w:uiPriority w:val="99"/>
    <w:rsid w:val="00923E4B"/>
  </w:style>
  <w:style w:type="numbering" w:customStyle="1" w:styleId="Semlista1111">
    <w:name w:val="Sem lista1111"/>
    <w:next w:val="Semlista"/>
    <w:uiPriority w:val="99"/>
    <w:semiHidden/>
    <w:unhideWhenUsed/>
    <w:rsid w:val="00923E4B"/>
  </w:style>
  <w:style w:type="numbering" w:customStyle="1" w:styleId="Semlista211">
    <w:name w:val="Sem lista211"/>
    <w:next w:val="Semlista"/>
    <w:uiPriority w:val="99"/>
    <w:semiHidden/>
    <w:unhideWhenUsed/>
    <w:rsid w:val="00923E4B"/>
  </w:style>
  <w:style w:type="numbering" w:customStyle="1" w:styleId="Semlista31">
    <w:name w:val="Sem lista31"/>
    <w:next w:val="Semlista"/>
    <w:uiPriority w:val="99"/>
    <w:semiHidden/>
    <w:unhideWhenUsed/>
    <w:rsid w:val="0092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8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8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61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31AE567-25B7-4365-871E-DA035DD6E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1767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2026-02-23T16:29:00Z</cp:lastPrinted>
  <dcterms:created xsi:type="dcterms:W3CDTF">2026-04-06T12:30:00Z</dcterms:created>
  <dcterms:modified xsi:type="dcterms:W3CDTF">2026-04-06T12:30:00Z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