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168C39" w14:textId="2053FAF8" w:rsidR="00510D4F" w:rsidRDefault="00510D4F" w:rsidP="00510D4F">
      <w:pPr>
        <w:spacing w:line="360" w:lineRule="auto"/>
        <w:jc w:val="center"/>
        <w:rPr>
          <w:rFonts w:ascii="Cambria" w:hAnsi="Cambria"/>
          <w:b/>
          <w:bCs/>
          <w:sz w:val="32"/>
          <w:szCs w:val="32"/>
          <w:u w:val="single"/>
        </w:rPr>
      </w:pPr>
      <w:r w:rsidRPr="00510D4F">
        <w:rPr>
          <w:rFonts w:ascii="Cambria" w:hAnsi="Cambria"/>
          <w:b/>
          <w:bCs/>
          <w:sz w:val="32"/>
          <w:szCs w:val="32"/>
          <w:u w:val="single"/>
        </w:rPr>
        <w:t xml:space="preserve">RESPOSTA À IMPUGNAÇÃO DO EDITAL DE LICITAÇÃO PREGÃO ELETRÔNICO Nº </w:t>
      </w:r>
      <w:r w:rsidR="005A3646">
        <w:rPr>
          <w:rFonts w:ascii="Cambria" w:hAnsi="Cambria"/>
          <w:b/>
          <w:bCs/>
          <w:sz w:val="32"/>
          <w:szCs w:val="32"/>
          <w:u w:val="single"/>
        </w:rPr>
        <w:t>081</w:t>
      </w:r>
      <w:r w:rsidRPr="00510D4F">
        <w:rPr>
          <w:rFonts w:ascii="Cambria" w:hAnsi="Cambria"/>
          <w:b/>
          <w:bCs/>
          <w:sz w:val="32"/>
          <w:szCs w:val="32"/>
          <w:u w:val="single"/>
        </w:rPr>
        <w:t>/2025</w:t>
      </w:r>
    </w:p>
    <w:p w14:paraId="587FC184" w14:textId="6FC839DF" w:rsidR="00230A18" w:rsidRDefault="00510D4F" w:rsidP="00510D4F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510D4F">
        <w:rPr>
          <w:rFonts w:ascii="Cambria" w:hAnsi="Cambria"/>
          <w:b/>
          <w:bCs/>
          <w:sz w:val="24"/>
          <w:szCs w:val="24"/>
        </w:rPr>
        <w:t xml:space="preserve">OBJETO: </w:t>
      </w:r>
      <w:r w:rsidR="000E0BAA" w:rsidRPr="000E0BAA">
        <w:rPr>
          <w:rFonts w:ascii="Cambria" w:hAnsi="Cambria"/>
          <w:sz w:val="24"/>
          <w:szCs w:val="24"/>
        </w:rPr>
        <w:t xml:space="preserve">Aquisição </w:t>
      </w:r>
      <w:r w:rsidR="000E0BAA">
        <w:rPr>
          <w:rFonts w:ascii="Cambria" w:hAnsi="Cambria"/>
          <w:sz w:val="24"/>
          <w:szCs w:val="24"/>
        </w:rPr>
        <w:t>d</w:t>
      </w:r>
      <w:r w:rsidR="000E0BAA" w:rsidRPr="000E0BAA">
        <w:rPr>
          <w:rFonts w:ascii="Cambria" w:hAnsi="Cambria"/>
          <w:sz w:val="24"/>
          <w:szCs w:val="24"/>
        </w:rPr>
        <w:t xml:space="preserve">e </w:t>
      </w:r>
      <w:r w:rsidR="000E0BAA">
        <w:rPr>
          <w:rFonts w:ascii="Cambria" w:hAnsi="Cambria"/>
          <w:sz w:val="24"/>
          <w:szCs w:val="24"/>
        </w:rPr>
        <w:t>m</w:t>
      </w:r>
      <w:r w:rsidR="000E0BAA" w:rsidRPr="000E0BAA">
        <w:rPr>
          <w:rFonts w:ascii="Cambria" w:hAnsi="Cambria"/>
          <w:sz w:val="24"/>
          <w:szCs w:val="24"/>
        </w:rPr>
        <w:t xml:space="preserve">ateriais </w:t>
      </w:r>
      <w:r w:rsidR="000E0BAA">
        <w:rPr>
          <w:rFonts w:ascii="Cambria" w:hAnsi="Cambria"/>
          <w:sz w:val="24"/>
          <w:szCs w:val="24"/>
        </w:rPr>
        <w:t>p</w:t>
      </w:r>
      <w:r w:rsidR="000E0BAA" w:rsidRPr="000E0BAA">
        <w:rPr>
          <w:rFonts w:ascii="Cambria" w:hAnsi="Cambria"/>
          <w:sz w:val="24"/>
          <w:szCs w:val="24"/>
        </w:rPr>
        <w:t xml:space="preserve">ermanentes </w:t>
      </w:r>
      <w:r w:rsidR="000E0BAA">
        <w:rPr>
          <w:rFonts w:ascii="Cambria" w:hAnsi="Cambria"/>
          <w:sz w:val="24"/>
          <w:szCs w:val="24"/>
        </w:rPr>
        <w:t>d</w:t>
      </w:r>
      <w:r w:rsidR="000E0BAA" w:rsidRPr="000E0BAA">
        <w:rPr>
          <w:rFonts w:ascii="Cambria" w:hAnsi="Cambria"/>
          <w:sz w:val="24"/>
          <w:szCs w:val="24"/>
        </w:rPr>
        <w:t xml:space="preserve">estinados </w:t>
      </w:r>
      <w:r w:rsidR="000E0BAA">
        <w:rPr>
          <w:rFonts w:ascii="Cambria" w:hAnsi="Cambria"/>
          <w:sz w:val="24"/>
          <w:szCs w:val="24"/>
        </w:rPr>
        <w:t>à</w:t>
      </w:r>
      <w:r w:rsidR="000E0BAA" w:rsidRPr="000E0BAA">
        <w:rPr>
          <w:rFonts w:ascii="Cambria" w:hAnsi="Cambria"/>
          <w:sz w:val="24"/>
          <w:szCs w:val="24"/>
        </w:rPr>
        <w:t xml:space="preserve">s Unidades Básicas </w:t>
      </w:r>
      <w:r w:rsidR="000E0BAA">
        <w:rPr>
          <w:rFonts w:ascii="Cambria" w:hAnsi="Cambria"/>
          <w:sz w:val="24"/>
          <w:szCs w:val="24"/>
        </w:rPr>
        <w:t>d</w:t>
      </w:r>
      <w:r w:rsidR="000E0BAA" w:rsidRPr="000E0BAA">
        <w:rPr>
          <w:rFonts w:ascii="Cambria" w:hAnsi="Cambria"/>
          <w:sz w:val="24"/>
          <w:szCs w:val="24"/>
        </w:rPr>
        <w:t>e Saúde (U</w:t>
      </w:r>
      <w:r w:rsidR="000E0BAA">
        <w:rPr>
          <w:rFonts w:ascii="Cambria" w:hAnsi="Cambria"/>
          <w:sz w:val="24"/>
          <w:szCs w:val="24"/>
        </w:rPr>
        <w:t>BS’</w:t>
      </w:r>
      <w:r w:rsidR="000E0BAA" w:rsidRPr="000E0BAA">
        <w:rPr>
          <w:rFonts w:ascii="Cambria" w:hAnsi="Cambria"/>
          <w:sz w:val="24"/>
          <w:szCs w:val="24"/>
        </w:rPr>
        <w:t>s)</w:t>
      </w:r>
      <w:r w:rsidR="000E0BAA">
        <w:rPr>
          <w:rFonts w:ascii="Cambria" w:hAnsi="Cambria"/>
          <w:sz w:val="24"/>
          <w:szCs w:val="24"/>
        </w:rPr>
        <w:t>.</w:t>
      </w:r>
    </w:p>
    <w:p w14:paraId="1AD6E1FF" w14:textId="53E7E736" w:rsidR="00230A18" w:rsidRPr="00230A18" w:rsidRDefault="00510D4F" w:rsidP="00230A18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DA TEMPESTIVIDADE</w:t>
      </w:r>
    </w:p>
    <w:p w14:paraId="32136C22" w14:textId="390388BB" w:rsidR="00230A18" w:rsidRDefault="000E0BAA" w:rsidP="00230A18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0E0BAA">
        <w:rPr>
          <w:rFonts w:ascii="Cambria" w:hAnsi="Cambria"/>
          <w:sz w:val="24"/>
          <w:szCs w:val="24"/>
        </w:rPr>
        <w:t xml:space="preserve">Trata-se da análise da impugnação interposta pela empresa </w:t>
      </w:r>
      <w:r w:rsidRPr="000E0BAA">
        <w:rPr>
          <w:rFonts w:ascii="Cambria" w:hAnsi="Cambria"/>
          <w:b/>
          <w:bCs/>
          <w:sz w:val="24"/>
          <w:szCs w:val="24"/>
        </w:rPr>
        <w:t>E. TRIPODE INDÚSTRIA E COMÉRCIO DE MÓVEIS LTDA</w:t>
      </w:r>
      <w:r w:rsidRPr="000E0BAA">
        <w:rPr>
          <w:rFonts w:ascii="Cambria" w:hAnsi="Cambria"/>
          <w:sz w:val="24"/>
          <w:szCs w:val="24"/>
        </w:rPr>
        <w:t xml:space="preserve">, inscrita no CNPJ sob o nº </w:t>
      </w:r>
      <w:r w:rsidRPr="000E0BAA">
        <w:rPr>
          <w:rFonts w:ascii="Cambria" w:hAnsi="Cambria"/>
          <w:b/>
          <w:bCs/>
          <w:sz w:val="24"/>
          <w:szCs w:val="24"/>
        </w:rPr>
        <w:t>22.228.425/0001-95</w:t>
      </w:r>
      <w:r w:rsidRPr="000E0BAA">
        <w:rPr>
          <w:rFonts w:ascii="Cambria" w:hAnsi="Cambria"/>
          <w:sz w:val="24"/>
          <w:szCs w:val="24"/>
        </w:rPr>
        <w:t>, em face de cláusula do Edital do Pregão Eletrônico nº 081/2025 que fixa o prazo máximo de 05 (cinco) dias úteis para entrega dos materiais, contados do recebimento da Nota de Empenho.</w:t>
      </w:r>
      <w:r w:rsidR="00230A18">
        <w:rPr>
          <w:rFonts w:ascii="Cambria" w:hAnsi="Cambria"/>
          <w:sz w:val="24"/>
          <w:szCs w:val="24"/>
        </w:rPr>
        <w:t xml:space="preserve"> </w:t>
      </w:r>
    </w:p>
    <w:p w14:paraId="67E3BFCD" w14:textId="5471F010" w:rsidR="00230A18" w:rsidRPr="00230A18" w:rsidRDefault="00230A18" w:rsidP="00230A18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230A18">
        <w:rPr>
          <w:rFonts w:ascii="Cambria" w:hAnsi="Cambria"/>
          <w:sz w:val="24"/>
          <w:szCs w:val="24"/>
        </w:rPr>
        <w:t>De acordo com o art. 164, parágrafo único, da Lei nº 14.133/2021, a impugnação ao edital deve ser protocolada até 3 (três) dias úteis antes da data de abertura do certame.</w:t>
      </w:r>
    </w:p>
    <w:p w14:paraId="70FF71EF" w14:textId="7B6F1EC8" w:rsidR="00565787" w:rsidRDefault="00A11E03" w:rsidP="00230A18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A11E03">
        <w:rPr>
          <w:rFonts w:ascii="Cambria" w:hAnsi="Cambria"/>
          <w:sz w:val="24"/>
          <w:szCs w:val="24"/>
        </w:rPr>
        <w:t>Verifica-se que a impugnação foi apresentada dentro do prazo legal, motivo pelo qual se reconhece a sua tempestividade, bem como a legitimidade e o interesse da impugnante.</w:t>
      </w:r>
    </w:p>
    <w:p w14:paraId="121B2E17" w14:textId="5D8DA0C4" w:rsidR="00565787" w:rsidRPr="00230A18" w:rsidRDefault="00565787" w:rsidP="00245B03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Cambria" w:hAnsi="Cambria"/>
          <w:b/>
          <w:bCs/>
          <w:sz w:val="24"/>
          <w:szCs w:val="24"/>
        </w:rPr>
      </w:pPr>
      <w:r w:rsidRPr="00565787">
        <w:rPr>
          <w:rFonts w:ascii="Cambria" w:hAnsi="Cambria"/>
          <w:b/>
          <w:bCs/>
          <w:sz w:val="24"/>
          <w:szCs w:val="24"/>
        </w:rPr>
        <w:t>SÍNTESE DAS TESES E ARGUMENTOS DA IMPUGNANTE</w:t>
      </w:r>
    </w:p>
    <w:p w14:paraId="0F5F25AC" w14:textId="77777777" w:rsidR="000E0BAA" w:rsidRPr="000E0BAA" w:rsidRDefault="000E0BAA" w:rsidP="000E0BAA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0E0BAA">
        <w:rPr>
          <w:rFonts w:ascii="Cambria" w:hAnsi="Cambria"/>
          <w:sz w:val="24"/>
          <w:szCs w:val="24"/>
        </w:rPr>
        <w:t>A impugnante sustenta, em síntese, que:</w:t>
      </w:r>
    </w:p>
    <w:p w14:paraId="5034E9B0" w14:textId="6015C441" w:rsidR="000E0BAA" w:rsidRPr="000E0BAA" w:rsidRDefault="000E0BAA" w:rsidP="000E0BAA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0E0BAA">
        <w:rPr>
          <w:rFonts w:ascii="Cambria" w:hAnsi="Cambria"/>
          <w:sz w:val="24"/>
          <w:szCs w:val="24"/>
        </w:rPr>
        <w:t xml:space="preserve">– o item 5.8 do </w:t>
      </w:r>
      <w:r w:rsidR="008B4C90">
        <w:rPr>
          <w:rFonts w:ascii="Cambria" w:hAnsi="Cambria"/>
          <w:sz w:val="24"/>
          <w:szCs w:val="24"/>
        </w:rPr>
        <w:t>Termo de Referência</w:t>
      </w:r>
      <w:r w:rsidRPr="000E0BAA">
        <w:rPr>
          <w:rFonts w:ascii="Cambria" w:hAnsi="Cambria"/>
          <w:sz w:val="24"/>
          <w:szCs w:val="24"/>
        </w:rPr>
        <w:t xml:space="preserve"> estabelece prazo máximo de 05 (cinco) dias úteis para entrega dos materiais, o que se mostraria inexequível diante do atual cenário logístico e da dependência de insumos importados;</w:t>
      </w:r>
    </w:p>
    <w:p w14:paraId="18F5D33E" w14:textId="77777777" w:rsidR="000E0BAA" w:rsidRPr="000E0BAA" w:rsidRDefault="000E0BAA" w:rsidP="000E0BAA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0E0BAA">
        <w:rPr>
          <w:rFonts w:ascii="Cambria" w:hAnsi="Cambria"/>
          <w:sz w:val="24"/>
          <w:szCs w:val="24"/>
        </w:rPr>
        <w:t>– a empresa está sediada no interior do Estado de São Paulo, sendo necessário tempo adicional para fabricação, aquisição de insumos e transporte até o Município de Jardim do Seridó/RN;</w:t>
      </w:r>
    </w:p>
    <w:p w14:paraId="29B59DE2" w14:textId="77777777" w:rsidR="000E0BAA" w:rsidRPr="000E0BAA" w:rsidRDefault="000E0BAA" w:rsidP="000E0BAA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0E0BAA">
        <w:rPr>
          <w:rFonts w:ascii="Cambria" w:hAnsi="Cambria"/>
          <w:sz w:val="24"/>
          <w:szCs w:val="24"/>
        </w:rPr>
        <w:t>– o prazo exíguo restringe a competitividade do certame, favorecendo fornecedores localizados próximos ao órgão contratante;</w:t>
      </w:r>
    </w:p>
    <w:p w14:paraId="3776AEF5" w14:textId="77777777" w:rsidR="000E0BAA" w:rsidRPr="000E0BAA" w:rsidRDefault="000E0BAA" w:rsidP="000E0BAA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0E0BAA">
        <w:rPr>
          <w:rFonts w:ascii="Cambria" w:hAnsi="Cambria"/>
          <w:sz w:val="24"/>
          <w:szCs w:val="24"/>
        </w:rPr>
        <w:lastRenderedPageBreak/>
        <w:t>– seria usual, em licitações dessa natureza, a fixação de prazo mínimo de 30 (trinta) dias para entrega;</w:t>
      </w:r>
    </w:p>
    <w:p w14:paraId="5F22CE42" w14:textId="77777777" w:rsidR="000E0BAA" w:rsidRPr="000E0BAA" w:rsidRDefault="000E0BAA" w:rsidP="000E0BAA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0E0BAA">
        <w:rPr>
          <w:rFonts w:ascii="Cambria" w:hAnsi="Cambria"/>
          <w:sz w:val="24"/>
          <w:szCs w:val="24"/>
        </w:rPr>
        <w:t>– requer, ao final, a reformulação do edital, com suspensão da sessão e republicação do instrumento convocatório, com prazo de entrega ampliado.</w:t>
      </w:r>
    </w:p>
    <w:p w14:paraId="106D3830" w14:textId="77777777" w:rsidR="00565787" w:rsidRDefault="00565787" w:rsidP="00565787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</w:p>
    <w:p w14:paraId="1ACE5E84" w14:textId="683E9513" w:rsidR="000E0BAA" w:rsidRPr="000E0BAA" w:rsidRDefault="00565787" w:rsidP="000E0BAA">
      <w:pPr>
        <w:pStyle w:val="PargrafodaLista"/>
        <w:numPr>
          <w:ilvl w:val="0"/>
          <w:numId w:val="1"/>
        </w:numPr>
        <w:spacing w:before="240" w:line="360" w:lineRule="auto"/>
        <w:ind w:left="0" w:firstLine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DO MÉRITO</w:t>
      </w:r>
    </w:p>
    <w:p w14:paraId="202A2BF0" w14:textId="564CED51" w:rsidR="000E0BAA" w:rsidRPr="000E0BAA" w:rsidRDefault="000E0BAA" w:rsidP="000E0BAA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0E0BAA">
        <w:rPr>
          <w:rFonts w:ascii="Cambria" w:hAnsi="Cambria"/>
          <w:color w:val="auto"/>
          <w:shd w:val="clear" w:color="auto" w:fill="FFFFFF"/>
          <w:lang w:val="pt-PT"/>
        </w:rPr>
        <w:t xml:space="preserve">A controvérsia limita-se à análise da razoabilidade e da legalidade do prazo máximo de 05 (cinco) dias úteis fixado no item 5.8 do </w:t>
      </w:r>
      <w:r w:rsidR="008B4C90">
        <w:rPr>
          <w:rFonts w:ascii="Cambria" w:hAnsi="Cambria"/>
          <w:color w:val="auto"/>
          <w:shd w:val="clear" w:color="auto" w:fill="FFFFFF"/>
          <w:lang w:val="pt-PT"/>
        </w:rPr>
        <w:t>Termo de Referência</w:t>
      </w:r>
      <w:r w:rsidRPr="000E0BAA">
        <w:rPr>
          <w:rFonts w:ascii="Cambria" w:hAnsi="Cambria"/>
          <w:color w:val="auto"/>
          <w:shd w:val="clear" w:color="auto" w:fill="FFFFFF"/>
          <w:lang w:val="pt-PT"/>
        </w:rPr>
        <w:t xml:space="preserve"> para entrega dos materiais.</w:t>
      </w:r>
    </w:p>
    <w:p w14:paraId="0CE46AA3" w14:textId="77777777" w:rsidR="000E0BAA" w:rsidRPr="000E0BAA" w:rsidRDefault="000E0BAA" w:rsidP="000E0BAA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0E0BAA">
        <w:rPr>
          <w:rFonts w:ascii="Cambria" w:hAnsi="Cambria"/>
          <w:color w:val="auto"/>
          <w:shd w:val="clear" w:color="auto" w:fill="FFFFFF"/>
          <w:lang w:val="pt-PT"/>
        </w:rPr>
        <w:t>Inicialmente, cumpre destacar que a definição de prazos de entrega integra a fase de planejamento da contratação e constitui prerrogativa da Administração Pública, devendo, contudo, observar os princípios da razoabilidade, da proporcionalidade, da isonomia, da competitividade e da seleção da proposta mais vantajosa, previstos no art. 5º da Lei nº 14.133/2021.</w:t>
      </w:r>
    </w:p>
    <w:p w14:paraId="31DB9787" w14:textId="77777777" w:rsidR="000E0BAA" w:rsidRPr="000E0BAA" w:rsidRDefault="000E0BAA" w:rsidP="000E0BAA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0E0BAA">
        <w:rPr>
          <w:rFonts w:ascii="Cambria" w:hAnsi="Cambria"/>
          <w:color w:val="auto"/>
          <w:shd w:val="clear" w:color="auto" w:fill="FFFFFF"/>
          <w:lang w:val="pt-PT"/>
        </w:rPr>
        <w:t>A jurisprudência consolidada do Tribunal de Contas da União e dos Tribunais de Contas estaduais orienta no sentido de que a Administração deve evitar a fixação de prazos excessivamente exíguos quando tais prazos não se mostram compatíveis com a complexidade do objeto, com a logística envolvida e com as condições normais de mercado, sob pena de restrição indevida à competitividade do certame.</w:t>
      </w:r>
    </w:p>
    <w:p w14:paraId="5050E53E" w14:textId="77777777" w:rsidR="000E0BAA" w:rsidRPr="000E0BAA" w:rsidRDefault="000E0BAA" w:rsidP="000E0BAA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0E0BAA">
        <w:rPr>
          <w:rFonts w:ascii="Cambria" w:hAnsi="Cambria"/>
          <w:color w:val="auto"/>
          <w:shd w:val="clear" w:color="auto" w:fill="FFFFFF"/>
          <w:lang w:val="pt-PT"/>
        </w:rPr>
        <w:t>No caso concreto, conforme consignado em manifestação técnica do Núcleo de Planejamento desta Municipalidade, após nova e criteriosa análise do Estudo Técnico Preliminar e do Termo de Referência, verificou-se que:</w:t>
      </w:r>
    </w:p>
    <w:p w14:paraId="4A775523" w14:textId="471CD80A" w:rsidR="000E0BAA" w:rsidRPr="000E0BAA" w:rsidRDefault="000E0BAA" w:rsidP="000E0BAA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0E0BAA">
        <w:rPr>
          <w:rFonts w:ascii="Cambria" w:hAnsi="Cambria"/>
          <w:color w:val="auto"/>
          <w:shd w:val="clear" w:color="auto" w:fill="FFFFFF"/>
          <w:lang w:val="pt-PT"/>
        </w:rPr>
        <w:t xml:space="preserve">– </w:t>
      </w:r>
      <w:r w:rsidR="008B4C90">
        <w:rPr>
          <w:rFonts w:ascii="Cambria" w:hAnsi="Cambria"/>
          <w:color w:val="auto"/>
          <w:shd w:val="clear" w:color="auto" w:fill="FFFFFF"/>
          <w:lang w:val="pt-PT"/>
        </w:rPr>
        <w:t>O</w:t>
      </w:r>
      <w:r w:rsidRPr="000E0BAA">
        <w:rPr>
          <w:rFonts w:ascii="Cambria" w:hAnsi="Cambria"/>
          <w:color w:val="auto"/>
          <w:shd w:val="clear" w:color="auto" w:fill="FFFFFF"/>
          <w:lang w:val="pt-PT"/>
        </w:rPr>
        <w:t xml:space="preserve"> prazo originalmente fixado de 05 (cinco) dias úteis pode, de fato, revelar-se excessivamente curto diante da natureza do objeto, do processo de fabricação, da aquisição de insumos e da logística de transporte interestadual;</w:t>
      </w:r>
    </w:p>
    <w:p w14:paraId="5F0A02D8" w14:textId="170D96D1" w:rsidR="000E0BAA" w:rsidRPr="000E0BAA" w:rsidRDefault="000E0BAA" w:rsidP="000E0BAA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0E0BAA">
        <w:rPr>
          <w:rFonts w:ascii="Cambria" w:hAnsi="Cambria"/>
          <w:color w:val="auto"/>
          <w:shd w:val="clear" w:color="auto" w:fill="FFFFFF"/>
          <w:lang w:val="pt-PT"/>
        </w:rPr>
        <w:t xml:space="preserve">– </w:t>
      </w:r>
      <w:r w:rsidR="008B4C90">
        <w:rPr>
          <w:rFonts w:ascii="Cambria" w:hAnsi="Cambria"/>
          <w:color w:val="auto"/>
          <w:shd w:val="clear" w:color="auto" w:fill="FFFFFF"/>
          <w:lang w:val="pt-PT"/>
        </w:rPr>
        <w:t>A</w:t>
      </w:r>
      <w:r w:rsidRPr="000E0BAA">
        <w:rPr>
          <w:rFonts w:ascii="Cambria" w:hAnsi="Cambria"/>
          <w:color w:val="auto"/>
          <w:shd w:val="clear" w:color="auto" w:fill="FFFFFF"/>
          <w:lang w:val="pt-PT"/>
        </w:rPr>
        <w:t xml:space="preserve"> ampliação do prazo de entrega não compromete as necessidades operacionais da Administração, tampouco o interesse público envolvido;</w:t>
      </w:r>
    </w:p>
    <w:p w14:paraId="1E1BFE39" w14:textId="0D8EA01D" w:rsidR="000E0BAA" w:rsidRPr="000E0BAA" w:rsidRDefault="000E0BAA" w:rsidP="000E0BAA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0E0BAA">
        <w:rPr>
          <w:rFonts w:ascii="Cambria" w:hAnsi="Cambria"/>
          <w:color w:val="auto"/>
          <w:shd w:val="clear" w:color="auto" w:fill="FFFFFF"/>
          <w:lang w:val="pt-PT"/>
        </w:rPr>
        <w:lastRenderedPageBreak/>
        <w:t xml:space="preserve">– </w:t>
      </w:r>
      <w:r w:rsidR="008B4C90">
        <w:rPr>
          <w:rFonts w:ascii="Cambria" w:hAnsi="Cambria"/>
          <w:color w:val="auto"/>
          <w:shd w:val="clear" w:color="auto" w:fill="FFFFFF"/>
          <w:lang w:val="pt-PT"/>
        </w:rPr>
        <w:t>A</w:t>
      </w:r>
      <w:r w:rsidRPr="000E0BAA">
        <w:rPr>
          <w:rFonts w:ascii="Cambria" w:hAnsi="Cambria"/>
          <w:color w:val="auto"/>
          <w:shd w:val="clear" w:color="auto" w:fill="FFFFFF"/>
          <w:lang w:val="pt-PT"/>
        </w:rPr>
        <w:t xml:space="preserve"> dilação do prazo contribui para a ampliação da competitividade, a mitigação de riscos de desabastecimento e a obtenção de propostas mais vantajosas.</w:t>
      </w:r>
    </w:p>
    <w:p w14:paraId="32F49DCF" w14:textId="77777777" w:rsidR="000E0BAA" w:rsidRPr="000E0BAA" w:rsidRDefault="000E0BAA" w:rsidP="000E0BAA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0E0BAA">
        <w:rPr>
          <w:rFonts w:ascii="Cambria" w:hAnsi="Cambria"/>
          <w:color w:val="auto"/>
          <w:shd w:val="clear" w:color="auto" w:fill="FFFFFF"/>
          <w:lang w:val="pt-PT"/>
        </w:rPr>
        <w:t>Tal entendimento encontra respaldo nos arts. 11 e 18 da Lei nº 14.133/2021, que impõem à fase de planejamento o dever de assegurar condições que preservem a ampla concorrência e favoreçam a seleção da proposta mais vantajosa, bem como nos princípios da eficiência, razoabilidade e julgamento objetivo.</w:t>
      </w:r>
    </w:p>
    <w:p w14:paraId="6D56E484" w14:textId="77777777" w:rsidR="000E0BAA" w:rsidRPr="000E0BAA" w:rsidRDefault="000E0BAA" w:rsidP="000E0BAA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0E0BAA">
        <w:rPr>
          <w:rFonts w:ascii="Cambria" w:hAnsi="Cambria"/>
          <w:color w:val="auto"/>
          <w:shd w:val="clear" w:color="auto" w:fill="FFFFFF"/>
          <w:lang w:val="pt-PT"/>
        </w:rPr>
        <w:t>Assim, verifica-se que a manutenção do prazo originalmente fixado poderia, em tese, restringir a participação de potenciais fornecedores situados em outras unidades da Federação, em afronta ao princípio da isonomia e à vedação de cláusulas restritivas sem justificativa técnica suficiente.</w:t>
      </w:r>
    </w:p>
    <w:p w14:paraId="39897F62" w14:textId="77777777" w:rsidR="000E0BAA" w:rsidRPr="000E0BAA" w:rsidRDefault="000E0BAA" w:rsidP="000E0BAA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0E0BAA">
        <w:rPr>
          <w:rFonts w:ascii="Cambria" w:hAnsi="Cambria"/>
          <w:color w:val="auto"/>
          <w:shd w:val="clear" w:color="auto" w:fill="FFFFFF"/>
          <w:lang w:val="pt-PT"/>
        </w:rPr>
        <w:t>Nesse contexto, mostra-se juridicamente adequada e tecnicamente recomendável a alteração do prazo de entrega para 30 (trinta) dias, contados do recebimento da ordem de fornecimento ou instrumento equivalente, conforme proposto pelo Núcleo de Planejamento.</w:t>
      </w:r>
    </w:p>
    <w:p w14:paraId="6AE8ADF0" w14:textId="77777777" w:rsidR="000E0BAA" w:rsidRPr="000E0BAA" w:rsidRDefault="000E0BAA" w:rsidP="000E0BAA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0E0BAA">
        <w:rPr>
          <w:rFonts w:ascii="Cambria" w:hAnsi="Cambria"/>
          <w:color w:val="auto"/>
          <w:shd w:val="clear" w:color="auto" w:fill="FFFFFF"/>
          <w:lang w:val="pt-PT"/>
        </w:rPr>
        <w:t>Registre-se, por fim, que a alteração do edital deverá observar o dever de ampla publicidade e a reabertura dos prazos, nos termos do art. 55, §1º, da Lei nº 14.133/2021, garantindo-se igualdade de condições a todos os interessados.</w:t>
      </w:r>
    </w:p>
    <w:p w14:paraId="06274A43" w14:textId="77777777" w:rsidR="00245B03" w:rsidRDefault="00245B03" w:rsidP="008B4C90">
      <w:pPr>
        <w:spacing w:line="360" w:lineRule="auto"/>
        <w:jc w:val="both"/>
        <w:rPr>
          <w:rFonts w:ascii="Cambria" w:hAnsi="Cambria"/>
          <w:sz w:val="24"/>
          <w:szCs w:val="24"/>
        </w:rPr>
      </w:pPr>
    </w:p>
    <w:p w14:paraId="19247A2E" w14:textId="3D004BCE" w:rsidR="000D19BB" w:rsidRPr="000D19BB" w:rsidRDefault="000D19BB" w:rsidP="000D19BB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CONCLUSÃO</w:t>
      </w:r>
    </w:p>
    <w:p w14:paraId="555D9FD5" w14:textId="77777777" w:rsidR="008B4C90" w:rsidRPr="008B4C90" w:rsidRDefault="008B4C90" w:rsidP="008B4C90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8B4C90">
        <w:rPr>
          <w:rFonts w:ascii="Cambria" w:hAnsi="Cambria"/>
          <w:color w:val="auto"/>
          <w:shd w:val="clear" w:color="auto" w:fill="FFFFFF"/>
          <w:lang w:val="pt-PT"/>
        </w:rPr>
        <w:t>Ante o exposto:</w:t>
      </w:r>
    </w:p>
    <w:p w14:paraId="03C9939C" w14:textId="77777777" w:rsidR="008B4C90" w:rsidRPr="008B4C90" w:rsidRDefault="008B4C90" w:rsidP="008B4C90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8B4C90">
        <w:rPr>
          <w:rFonts w:ascii="Cambria" w:hAnsi="Cambria"/>
          <w:color w:val="auto"/>
          <w:shd w:val="clear" w:color="auto" w:fill="FFFFFF"/>
          <w:lang w:val="pt-PT"/>
        </w:rPr>
        <w:t xml:space="preserve">CONHEÇO da impugnação apresentada pela empresa </w:t>
      </w:r>
      <w:r w:rsidRPr="008B4C90">
        <w:rPr>
          <w:rFonts w:ascii="Cambria" w:hAnsi="Cambria"/>
          <w:b/>
          <w:bCs/>
          <w:color w:val="auto"/>
          <w:shd w:val="clear" w:color="auto" w:fill="FFFFFF"/>
          <w:lang w:val="pt-PT"/>
        </w:rPr>
        <w:t>E. TRIPODE INDÚSTRIA E COMÉRCIO DE MÓVEIS LTDA</w:t>
      </w:r>
      <w:r w:rsidRPr="008B4C90">
        <w:rPr>
          <w:rFonts w:ascii="Cambria" w:hAnsi="Cambria"/>
          <w:color w:val="auto"/>
          <w:shd w:val="clear" w:color="auto" w:fill="FFFFFF"/>
          <w:lang w:val="pt-PT"/>
        </w:rPr>
        <w:t>, por ser tempestiva e formalmente admissível;</w:t>
      </w:r>
    </w:p>
    <w:p w14:paraId="67308A5B" w14:textId="77777777" w:rsidR="008B4C90" w:rsidRPr="008B4C90" w:rsidRDefault="008B4C90" w:rsidP="008B4C90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8B4C90">
        <w:rPr>
          <w:rFonts w:ascii="Cambria" w:hAnsi="Cambria"/>
          <w:color w:val="auto"/>
          <w:shd w:val="clear" w:color="auto" w:fill="FFFFFF"/>
          <w:lang w:val="pt-PT"/>
        </w:rPr>
        <w:t>NO MÉRITO, DOU-LHE PROVIMENTO, para:</w:t>
      </w:r>
    </w:p>
    <w:p w14:paraId="4C38B839" w14:textId="03DCC4E6" w:rsidR="008B4C90" w:rsidRPr="008B4C90" w:rsidRDefault="008B4C90" w:rsidP="008B4C90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8B4C90">
        <w:rPr>
          <w:rFonts w:ascii="Cambria" w:hAnsi="Cambria"/>
          <w:color w:val="auto"/>
          <w:shd w:val="clear" w:color="auto" w:fill="FFFFFF"/>
          <w:lang w:val="pt-PT"/>
        </w:rPr>
        <w:t xml:space="preserve">– </w:t>
      </w:r>
      <w:r>
        <w:rPr>
          <w:rFonts w:ascii="Cambria" w:hAnsi="Cambria"/>
          <w:color w:val="auto"/>
          <w:shd w:val="clear" w:color="auto" w:fill="FFFFFF"/>
          <w:lang w:val="pt-PT"/>
        </w:rPr>
        <w:t>D</w:t>
      </w:r>
      <w:r w:rsidRPr="008B4C90">
        <w:rPr>
          <w:rFonts w:ascii="Cambria" w:hAnsi="Cambria"/>
          <w:color w:val="auto"/>
          <w:shd w:val="clear" w:color="auto" w:fill="FFFFFF"/>
          <w:lang w:val="pt-PT"/>
        </w:rPr>
        <w:t>eterminar a RETIFICAÇÃO do item 5.8 do instrumento convocatório, a fim de alterar o prazo máximo de entrega para 30 (trinta) dias, contados a partir do recebimento da ordem de fornecimento ou instrumento equivalente;</w:t>
      </w:r>
    </w:p>
    <w:p w14:paraId="37004384" w14:textId="3F45C8EE" w:rsidR="008B4C90" w:rsidRPr="008B4C90" w:rsidRDefault="008B4C90" w:rsidP="008B4C90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8B4C90">
        <w:rPr>
          <w:rFonts w:ascii="Cambria" w:hAnsi="Cambria"/>
          <w:color w:val="auto"/>
          <w:shd w:val="clear" w:color="auto" w:fill="FFFFFF"/>
          <w:lang w:val="pt-PT"/>
        </w:rPr>
        <w:lastRenderedPageBreak/>
        <w:t xml:space="preserve">– </w:t>
      </w:r>
      <w:r>
        <w:rPr>
          <w:rFonts w:ascii="Cambria" w:hAnsi="Cambria"/>
          <w:color w:val="auto"/>
          <w:shd w:val="clear" w:color="auto" w:fill="FFFFFF"/>
          <w:lang w:val="pt-PT"/>
        </w:rPr>
        <w:t>D</w:t>
      </w:r>
      <w:r w:rsidRPr="008B4C90">
        <w:rPr>
          <w:rFonts w:ascii="Cambria" w:hAnsi="Cambria"/>
          <w:color w:val="auto"/>
          <w:shd w:val="clear" w:color="auto" w:fill="FFFFFF"/>
          <w:lang w:val="pt-PT"/>
        </w:rPr>
        <w:t>eterminar a devida PUBLICIDADE da alteração, com reabertura dos prazos, na forma da legislação vigente;</w:t>
      </w:r>
    </w:p>
    <w:p w14:paraId="202AEC82" w14:textId="77777777" w:rsidR="008B4C90" w:rsidRPr="008B4C90" w:rsidRDefault="008B4C90" w:rsidP="008B4C90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8B4C90">
        <w:rPr>
          <w:rFonts w:ascii="Cambria" w:hAnsi="Cambria"/>
          <w:color w:val="auto"/>
          <w:shd w:val="clear" w:color="auto" w:fill="FFFFFF"/>
          <w:lang w:val="pt-PT"/>
        </w:rPr>
        <w:t>MANTÊM-SE inalteradas as demais cláusulas e condições do edital.</w:t>
      </w:r>
    </w:p>
    <w:p w14:paraId="70BA19E5" w14:textId="77777777" w:rsidR="000D19BB" w:rsidRPr="000D19BB" w:rsidRDefault="000D19BB" w:rsidP="000D19BB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</w:p>
    <w:p w14:paraId="12EDC9C0" w14:textId="3B093ECA" w:rsidR="000D19BB" w:rsidRPr="000D19BB" w:rsidRDefault="000D19BB" w:rsidP="000D19BB">
      <w:pPr>
        <w:spacing w:before="240"/>
        <w:jc w:val="right"/>
        <w:rPr>
          <w:rFonts w:ascii="Cambria" w:hAnsi="Cambria" w:cs="Times New Roman"/>
          <w:b/>
          <w:i/>
        </w:rPr>
      </w:pPr>
      <w:r w:rsidRPr="000D19BB">
        <w:rPr>
          <w:rFonts w:ascii="Cambria" w:hAnsi="Cambria" w:cs="Times New Roman"/>
          <w:bCs/>
          <w:iCs/>
          <w:sz w:val="24"/>
          <w:szCs w:val="24"/>
        </w:rPr>
        <w:t xml:space="preserve">Jardim do Seridó/RN, </w:t>
      </w:r>
      <w:r w:rsidR="008C0217">
        <w:rPr>
          <w:rFonts w:ascii="Cambria" w:hAnsi="Cambria" w:cs="Times New Roman"/>
          <w:bCs/>
          <w:iCs/>
          <w:sz w:val="24"/>
          <w:szCs w:val="24"/>
        </w:rPr>
        <w:t>02 de fevereiro</w:t>
      </w:r>
      <w:r w:rsidR="005A3646">
        <w:rPr>
          <w:rFonts w:ascii="Cambria" w:hAnsi="Cambria" w:cs="Times New Roman"/>
          <w:bCs/>
          <w:iCs/>
          <w:sz w:val="24"/>
          <w:szCs w:val="24"/>
        </w:rPr>
        <w:t xml:space="preserve"> de 2026</w:t>
      </w:r>
      <w:r w:rsidRPr="000D19BB">
        <w:rPr>
          <w:rFonts w:ascii="Cambria" w:hAnsi="Cambria" w:cs="Times New Roman"/>
          <w:bCs/>
          <w:iCs/>
          <w:sz w:val="24"/>
          <w:szCs w:val="24"/>
        </w:rPr>
        <w:t>.</w:t>
      </w:r>
    </w:p>
    <w:p w14:paraId="476177A2" w14:textId="2C5892A1" w:rsidR="000D19BB" w:rsidRDefault="000D19BB" w:rsidP="000D19BB">
      <w:pPr>
        <w:pStyle w:val="Corpodetexto"/>
        <w:spacing w:before="240"/>
        <w:jc w:val="both"/>
        <w:rPr>
          <w:rFonts w:ascii="Cambria" w:hAnsi="Cambria" w:cs="Times New Roman"/>
          <w:b/>
          <w:i/>
        </w:rPr>
      </w:pPr>
    </w:p>
    <w:p w14:paraId="5CFDFD5C" w14:textId="77777777" w:rsidR="00245B03" w:rsidRPr="000D19BB" w:rsidRDefault="00245B03" w:rsidP="000D19BB">
      <w:pPr>
        <w:pStyle w:val="Corpodetexto"/>
        <w:spacing w:before="240"/>
        <w:jc w:val="both"/>
        <w:rPr>
          <w:rFonts w:ascii="Cambria" w:hAnsi="Cambria" w:cs="Times New Roman"/>
          <w:b/>
          <w:i/>
        </w:rPr>
      </w:pPr>
    </w:p>
    <w:p w14:paraId="42A31409" w14:textId="77777777" w:rsidR="000D19BB" w:rsidRPr="000D19BB" w:rsidRDefault="000D19BB" w:rsidP="000D19BB">
      <w:pPr>
        <w:pStyle w:val="Corpodetexto"/>
        <w:spacing w:before="240"/>
        <w:jc w:val="both"/>
        <w:rPr>
          <w:rFonts w:ascii="Cambria" w:hAnsi="Cambria" w:cs="Times New Roman"/>
          <w:b/>
          <w:i/>
        </w:rPr>
      </w:pPr>
    </w:p>
    <w:p w14:paraId="054470E5" w14:textId="77777777" w:rsidR="000D19BB" w:rsidRPr="000D19BB" w:rsidRDefault="000D19BB" w:rsidP="000D19BB">
      <w:pPr>
        <w:ind w:left="1843" w:right="1936" w:hanging="142"/>
        <w:jc w:val="center"/>
        <w:rPr>
          <w:rFonts w:ascii="Cambria" w:hAnsi="Cambria" w:cs="Times New Roman"/>
          <w:b/>
          <w:i/>
          <w:iCs/>
          <w:sz w:val="24"/>
          <w:szCs w:val="24"/>
        </w:rPr>
      </w:pPr>
    </w:p>
    <w:p w14:paraId="2DABB50B" w14:textId="77777777" w:rsidR="000D19BB" w:rsidRPr="000D19BB" w:rsidRDefault="000D19BB" w:rsidP="000D19BB">
      <w:pPr>
        <w:ind w:left="1843" w:right="1936" w:hanging="142"/>
        <w:jc w:val="center"/>
        <w:rPr>
          <w:rFonts w:ascii="Cambria" w:hAnsi="Cambria" w:cs="Times New Roman"/>
          <w:b/>
          <w:i/>
          <w:iCs/>
          <w:sz w:val="24"/>
          <w:szCs w:val="24"/>
        </w:rPr>
      </w:pPr>
      <w:r w:rsidRPr="000D19BB">
        <w:rPr>
          <w:rFonts w:ascii="Cambria" w:hAnsi="Cambria" w:cs="Times New Roman"/>
          <w:b/>
          <w:i/>
          <w:iCs/>
          <w:sz w:val="24"/>
          <w:szCs w:val="24"/>
        </w:rPr>
        <w:t>José Fernandes de Oliveira Neto</w:t>
      </w:r>
    </w:p>
    <w:p w14:paraId="2F4D3526" w14:textId="77777777" w:rsidR="000D19BB" w:rsidRPr="000D19BB" w:rsidRDefault="000D19BB" w:rsidP="000D19BB">
      <w:pPr>
        <w:ind w:left="1843" w:right="1936" w:hanging="142"/>
        <w:jc w:val="center"/>
        <w:rPr>
          <w:rFonts w:ascii="Cambria" w:hAnsi="Cambria" w:cs="Times New Roman"/>
          <w:bCs/>
          <w:i/>
          <w:iCs/>
          <w:sz w:val="24"/>
          <w:szCs w:val="24"/>
        </w:rPr>
      </w:pPr>
      <w:r w:rsidRPr="000D19BB">
        <w:rPr>
          <w:rFonts w:ascii="Cambria" w:hAnsi="Cambria" w:cs="Times New Roman"/>
          <w:bCs/>
          <w:i/>
          <w:iCs/>
          <w:sz w:val="24"/>
          <w:szCs w:val="24"/>
        </w:rPr>
        <w:t>Pregoeiro Municipal</w:t>
      </w:r>
    </w:p>
    <w:p w14:paraId="0EBF5F59" w14:textId="77777777" w:rsidR="000D19BB" w:rsidRPr="00A81304" w:rsidRDefault="000D19BB" w:rsidP="000D19BB">
      <w:pPr>
        <w:spacing w:line="360" w:lineRule="auto"/>
        <w:ind w:firstLine="709"/>
        <w:jc w:val="both"/>
        <w:rPr>
          <w:rFonts w:ascii="Cambria" w:hAnsi="Cambria"/>
          <w:sz w:val="24"/>
          <w:szCs w:val="24"/>
        </w:rPr>
      </w:pPr>
    </w:p>
    <w:sectPr w:rsidR="000D19BB" w:rsidRPr="00A81304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03E7E0" w14:textId="77777777" w:rsidR="0051757D" w:rsidRDefault="0051757D" w:rsidP="00510D4F">
      <w:pPr>
        <w:spacing w:after="0" w:line="240" w:lineRule="auto"/>
      </w:pPr>
      <w:r>
        <w:separator/>
      </w:r>
    </w:p>
  </w:endnote>
  <w:endnote w:type="continuationSeparator" w:id="0">
    <w:p w14:paraId="28BFCA08" w14:textId="77777777" w:rsidR="0051757D" w:rsidRDefault="0051757D" w:rsidP="00510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skervilleTMed">
    <w:altName w:val="Century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866FE5" w14:textId="77777777" w:rsidR="0051757D" w:rsidRDefault="0051757D" w:rsidP="00510D4F">
      <w:pPr>
        <w:spacing w:after="0" w:line="240" w:lineRule="auto"/>
      </w:pPr>
      <w:r>
        <w:separator/>
      </w:r>
    </w:p>
  </w:footnote>
  <w:footnote w:type="continuationSeparator" w:id="0">
    <w:p w14:paraId="11702286" w14:textId="77777777" w:rsidR="0051757D" w:rsidRDefault="0051757D" w:rsidP="00510D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E1CFE4" w14:textId="77777777" w:rsidR="00510D4F" w:rsidRDefault="00510D4F" w:rsidP="00510D4F">
    <w:pPr>
      <w:pStyle w:val="Cabealho"/>
      <w:tabs>
        <w:tab w:val="right" w:pos="9072"/>
      </w:tabs>
      <w:ind w:right="-568"/>
      <w:jc w:val="center"/>
      <w:rPr>
        <w:rFonts w:ascii="BaskervilleTMed" w:hAnsi="BaskervilleTMed"/>
        <w:sz w:val="18"/>
        <w:szCs w:val="24"/>
      </w:rPr>
    </w:pPr>
    <w:r>
      <w:rPr>
        <w:rFonts w:ascii="BaskervilleTMed" w:hAnsi="BaskervilleTMed"/>
        <w:sz w:val="18"/>
        <w:szCs w:val="24"/>
      </w:rPr>
      <w:object w:dxaOrig="2565" w:dyaOrig="4694" w14:anchorId="1C9C3D2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6pt;height:49.2pt" fillcolor="window">
          <v:imagedata r:id="rId1" o:title=""/>
        </v:shape>
        <o:OLEObject Type="Embed" ProgID="PBrush" ShapeID="_x0000_i1025" DrawAspect="Content" ObjectID="_1831699467" r:id="rId2"/>
      </w:object>
    </w:r>
  </w:p>
  <w:p w14:paraId="61F11A72" w14:textId="77777777" w:rsidR="00510D4F" w:rsidRPr="00EE0B53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ESTADO DO RIO GRANDE DO NORTE</w:t>
    </w:r>
  </w:p>
  <w:p w14:paraId="79905F3A" w14:textId="77777777" w:rsidR="00510D4F" w:rsidRPr="00EE0B53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PREFEITURA DO MUNICÍPIO DE JARDIM DO SERIDÓ</w:t>
    </w:r>
  </w:p>
  <w:p w14:paraId="32A22FC7" w14:textId="77777777" w:rsidR="00510D4F" w:rsidRPr="00EE0B53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Centro de Múltiplo Uso “Prefeito Pedro Izidro de Medeiros”</w:t>
    </w:r>
  </w:p>
  <w:p w14:paraId="130FBAF0" w14:textId="77777777" w:rsidR="00510D4F" w:rsidRPr="00EE0B53" w:rsidRDefault="00510D4F" w:rsidP="00510D4F">
    <w:pPr>
      <w:pStyle w:val="Cabealho"/>
      <w:tabs>
        <w:tab w:val="left" w:pos="1275"/>
        <w:tab w:val="center" w:pos="4819"/>
        <w:tab w:val="right" w:pos="9072"/>
      </w:tabs>
      <w:ind w:right="-568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ab/>
    </w:r>
    <w:r w:rsidRPr="00EE0B53">
      <w:rPr>
        <w:rFonts w:ascii="Times New Roman" w:hAnsi="Times New Roman" w:cs="Times New Roman"/>
        <w:sz w:val="18"/>
        <w:szCs w:val="18"/>
      </w:rPr>
      <w:tab/>
      <w:t>Praça “Prefeito Manoel Paulino dos Santos Filho” nº 228, Centro, Jardim do Seridó/RN CEP: 59343-000</w:t>
    </w:r>
  </w:p>
  <w:p w14:paraId="5D835444" w14:textId="77777777" w:rsidR="00510D4F" w:rsidRPr="00EE0B53" w:rsidRDefault="00510D4F" w:rsidP="00510D4F">
    <w:pPr>
      <w:pStyle w:val="Cabealho"/>
      <w:tabs>
        <w:tab w:val="left" w:pos="1275"/>
        <w:tab w:val="center" w:pos="4819"/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Fones: (84) 3472.3900 – (84) 99655-1542</w:t>
    </w:r>
  </w:p>
  <w:p w14:paraId="12448EB2" w14:textId="77777777" w:rsidR="00510D4F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CNPJ 08.086.662/0001-38</w:t>
    </w:r>
  </w:p>
  <w:p w14:paraId="037D3D91" w14:textId="77777777" w:rsidR="00510D4F" w:rsidRDefault="00510D4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D87E0B"/>
    <w:multiLevelType w:val="multilevel"/>
    <w:tmpl w:val="87262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08068C"/>
    <w:multiLevelType w:val="multilevel"/>
    <w:tmpl w:val="FF6EE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2" w15:restartNumberingAfterBreak="0">
    <w:nsid w:val="4A015ECE"/>
    <w:multiLevelType w:val="multilevel"/>
    <w:tmpl w:val="B89A9DB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1857E87"/>
    <w:multiLevelType w:val="hybridMultilevel"/>
    <w:tmpl w:val="C0923024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E95465"/>
    <w:multiLevelType w:val="multilevel"/>
    <w:tmpl w:val="C27C8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D4F"/>
    <w:rsid w:val="000D19BB"/>
    <w:rsid w:val="000E0BAA"/>
    <w:rsid w:val="00230A18"/>
    <w:rsid w:val="00245B03"/>
    <w:rsid w:val="002655B1"/>
    <w:rsid w:val="004E002C"/>
    <w:rsid w:val="00510D4F"/>
    <w:rsid w:val="0051757D"/>
    <w:rsid w:val="00565787"/>
    <w:rsid w:val="005A3646"/>
    <w:rsid w:val="008B4C90"/>
    <w:rsid w:val="008C0217"/>
    <w:rsid w:val="00A11E03"/>
    <w:rsid w:val="00A41D3F"/>
    <w:rsid w:val="00A81304"/>
    <w:rsid w:val="00E77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0A64E8"/>
  <w15:chartTrackingRefBased/>
  <w15:docId w15:val="{7E9E05CA-A9E7-470F-885A-53DFACEBE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6578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 Char,Char"/>
    <w:basedOn w:val="Normal"/>
    <w:link w:val="CabealhoChar"/>
    <w:unhideWhenUsed/>
    <w:rsid w:val="00510D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 Char Char,Char Char"/>
    <w:basedOn w:val="Fontepargpadro"/>
    <w:link w:val="Cabealho"/>
    <w:rsid w:val="00510D4F"/>
  </w:style>
  <w:style w:type="paragraph" w:styleId="Rodap">
    <w:name w:val="footer"/>
    <w:basedOn w:val="Normal"/>
    <w:link w:val="RodapChar"/>
    <w:uiPriority w:val="99"/>
    <w:unhideWhenUsed/>
    <w:rsid w:val="00510D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10D4F"/>
  </w:style>
  <w:style w:type="paragraph" w:styleId="PargrafodaLista">
    <w:name w:val="List Paragraph"/>
    <w:basedOn w:val="Normal"/>
    <w:uiPriority w:val="34"/>
    <w:qFormat/>
    <w:rsid w:val="00510D4F"/>
    <w:pPr>
      <w:ind w:left="720"/>
      <w:contextualSpacing/>
    </w:pPr>
  </w:style>
  <w:style w:type="character" w:customStyle="1" w:styleId="Ttulo4Char">
    <w:name w:val="Título 4 Char"/>
    <w:basedOn w:val="Fontepargpadro"/>
    <w:link w:val="Ttulo4"/>
    <w:uiPriority w:val="9"/>
    <w:semiHidden/>
    <w:rsid w:val="0056578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565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65787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0D19B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D19BB"/>
    <w:rPr>
      <w:rFonts w:ascii="Arial" w:eastAsia="Arial" w:hAnsi="Arial" w:cs="Arial"/>
      <w:sz w:val="24"/>
      <w:szCs w:val="24"/>
      <w:lang w:val="pt-PT"/>
    </w:rPr>
  </w:style>
  <w:style w:type="paragraph" w:customStyle="1" w:styleId="Default">
    <w:name w:val="Default"/>
    <w:rsid w:val="000D19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10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810</Words>
  <Characters>4379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4</cp:revision>
  <dcterms:created xsi:type="dcterms:W3CDTF">2026-01-20T12:06:00Z</dcterms:created>
  <dcterms:modified xsi:type="dcterms:W3CDTF">2026-02-04T11:38:00Z</dcterms:modified>
</cp:coreProperties>
</file>